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64A22" w14:textId="2913CA14" w:rsidR="0056782F" w:rsidRPr="00BB66AA" w:rsidRDefault="00174DBC" w:rsidP="0056782F">
      <w:pPr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Energiegenossenschaften fordern bessere Rahmenbedingungen von der Politik</w:t>
      </w:r>
    </w:p>
    <w:p w14:paraId="6EAD01F5" w14:textId="14D6B699" w:rsidR="00CD7CCC" w:rsidRDefault="00CD7CCC" w:rsidP="00FC07DA">
      <w:pPr>
        <w:jc w:val="right"/>
        <w:rPr>
          <w:highlight w:val="yellow"/>
        </w:rPr>
      </w:pPr>
    </w:p>
    <w:p w14:paraId="5887AB2A" w14:textId="0B21F5D3" w:rsidR="00921DD8" w:rsidRDefault="00FC07DA" w:rsidP="00FC07DA">
      <w:pPr>
        <w:jc w:val="right"/>
      </w:pPr>
      <w:r>
        <w:rPr>
          <w:highlight w:val="yellow"/>
        </w:rPr>
        <w:t>Ort,</w:t>
      </w:r>
      <w:r w:rsidR="00532D53">
        <w:rPr>
          <w:highlight w:val="yellow"/>
        </w:rPr>
        <w:t xml:space="preserve"> </w:t>
      </w:r>
      <w:r w:rsidRPr="00FC07DA">
        <w:rPr>
          <w:highlight w:val="yellow"/>
        </w:rPr>
        <w:t>Datum</w:t>
      </w:r>
    </w:p>
    <w:p w14:paraId="4ACEAEFB" w14:textId="2D758234" w:rsidR="00921DD8" w:rsidRPr="003C4425" w:rsidRDefault="00921DD8" w:rsidP="00921DD8">
      <w:pPr>
        <w:spacing w:before="100" w:beforeAutospacing="1" w:after="100" w:afterAutospacing="1"/>
        <w:rPr>
          <w:rFonts w:eastAsia="Times New Roman" w:cstheme="minorHAnsi"/>
          <w:highlight w:val="yellow"/>
        </w:rPr>
      </w:pPr>
      <w:r w:rsidRPr="00921DD8">
        <w:rPr>
          <w:rFonts w:eastAsia="Times New Roman" w:cstheme="minorHAnsi"/>
          <w:highlight w:val="yellow"/>
        </w:rPr>
        <w:t>Sehr geehrte*r Frau/Herr</w:t>
      </w:r>
      <w:r w:rsidR="00C277CE">
        <w:rPr>
          <w:rFonts w:eastAsia="Times New Roman" w:cstheme="minorHAnsi"/>
          <w:highlight w:val="yellow"/>
        </w:rPr>
        <w:t xml:space="preserve"> </w:t>
      </w:r>
      <w:r w:rsidR="003C4425">
        <w:rPr>
          <w:rFonts w:eastAsia="Times New Roman" w:cstheme="minorHAnsi"/>
          <w:highlight w:val="yellow"/>
        </w:rPr>
        <w:t>Abgeordnete*r,</w:t>
      </w:r>
      <w:r w:rsidRPr="00921DD8">
        <w:rPr>
          <w:rFonts w:eastAsia="Times New Roman" w:cstheme="minorHAnsi"/>
          <w:highlight w:val="yellow"/>
        </w:rPr>
        <w:br/>
        <w:t>sehr geehrte*r Frau/Herr Minister</w:t>
      </w:r>
      <w:r w:rsidR="00C277CE">
        <w:rPr>
          <w:rFonts w:eastAsia="Times New Roman" w:cstheme="minorHAnsi"/>
          <w:highlight w:val="yellow"/>
        </w:rPr>
        <w:t>*in</w:t>
      </w:r>
      <w:r w:rsidRPr="00921DD8">
        <w:rPr>
          <w:rFonts w:eastAsia="Times New Roman" w:cstheme="minorHAnsi"/>
          <w:highlight w:val="yellow"/>
        </w:rPr>
        <w:t>,</w:t>
      </w:r>
      <w:r w:rsidRPr="00921DD8">
        <w:rPr>
          <w:rFonts w:eastAsia="Times New Roman" w:cstheme="minorHAnsi"/>
          <w:i/>
          <w:iCs/>
          <w:highlight w:val="yellow"/>
        </w:rPr>
        <w:br/>
      </w:r>
      <w:r w:rsidRPr="00921DD8">
        <w:rPr>
          <w:rFonts w:eastAsia="Times New Roman" w:cstheme="minorHAnsi"/>
          <w:highlight w:val="yellow"/>
        </w:rPr>
        <w:t>sehr geehrte*r Frau/Herr Staatssekretär</w:t>
      </w:r>
      <w:r w:rsidR="00C277CE">
        <w:rPr>
          <w:rFonts w:eastAsia="Times New Roman" w:cstheme="minorHAnsi"/>
          <w:highlight w:val="yellow"/>
        </w:rPr>
        <w:t>*in</w:t>
      </w:r>
      <w:r w:rsidRPr="00921DD8">
        <w:rPr>
          <w:rFonts w:eastAsia="Times New Roman" w:cstheme="minorHAnsi"/>
          <w:highlight w:val="yellow"/>
        </w:rPr>
        <w:t>,</w:t>
      </w:r>
      <w:r>
        <w:rPr>
          <w:rFonts w:eastAsia="Times New Roman" w:cstheme="minorHAnsi"/>
        </w:rPr>
        <w:t xml:space="preserve"> </w:t>
      </w:r>
    </w:p>
    <w:p w14:paraId="0C6AF988" w14:textId="4ACC2215" w:rsidR="009A2E8B" w:rsidRDefault="00D85B44" w:rsidP="009A2E8B">
      <w:pPr>
        <w:rPr>
          <w:rFonts w:eastAsia="Calibri"/>
        </w:rPr>
      </w:pPr>
      <w:r>
        <w:rPr>
          <w:rFonts w:eastAsia="Calibri"/>
        </w:rPr>
        <w:t>z</w:t>
      </w:r>
      <w:r w:rsidR="004B0D2C" w:rsidRPr="008302EE">
        <w:rPr>
          <w:rFonts w:eastAsia="Calibri"/>
        </w:rPr>
        <w:t>ur Verbesserung der wirtschaftlichen Rahmenbedingungen in Deutschland sind umfassende Reformen erforderlich. Eine krisenfeste Energieversorgung auf Basis von erneuerbare</w:t>
      </w:r>
      <w:r w:rsidR="00BB3A11" w:rsidRPr="008302EE">
        <w:rPr>
          <w:rFonts w:eastAsia="Calibri"/>
        </w:rPr>
        <w:t>n</w:t>
      </w:r>
      <w:r w:rsidR="004B0D2C" w:rsidRPr="008302EE">
        <w:rPr>
          <w:rFonts w:eastAsia="Calibri"/>
        </w:rPr>
        <w:t xml:space="preserve"> Energien spielt dabei eine zentrale Rolle. Dies erfordert die Einbindung aller Akteursgruppen, insbesondere regionaler und mittelständischer Unternehmen. A</w:t>
      </w:r>
      <w:r w:rsidR="00921DD8" w:rsidRPr="008302EE">
        <w:rPr>
          <w:rFonts w:eastAsia="Calibri"/>
        </w:rPr>
        <w:t>l</w:t>
      </w:r>
      <w:r w:rsidR="002A1B89">
        <w:rPr>
          <w:rFonts w:eastAsia="Calibri"/>
        </w:rPr>
        <w:t xml:space="preserve">s </w:t>
      </w:r>
      <w:r w:rsidR="00921DD8" w:rsidRPr="008302EE">
        <w:rPr>
          <w:rFonts w:eastAsia="Calibri"/>
        </w:rPr>
        <w:t xml:space="preserve">Energiegenossenschaft Ihres Wahlkreises leisten </w:t>
      </w:r>
      <w:r w:rsidR="00906C9E" w:rsidRPr="008302EE">
        <w:rPr>
          <w:rFonts w:eastAsia="Calibri"/>
        </w:rPr>
        <w:t xml:space="preserve">wir </w:t>
      </w:r>
      <w:r w:rsidR="00921DD8" w:rsidRPr="008302EE">
        <w:rPr>
          <w:rFonts w:eastAsia="Calibri"/>
        </w:rPr>
        <w:t xml:space="preserve">einen wichtigen Beitrag für die Akzeptanz und aktive Teilhabe der </w:t>
      </w:r>
      <w:r w:rsidR="002A1B89">
        <w:rPr>
          <w:rFonts w:eastAsia="Calibri"/>
        </w:rPr>
        <w:t>lokalen Bevölkerung</w:t>
      </w:r>
      <w:r w:rsidR="00921DD8" w:rsidRPr="008302EE">
        <w:rPr>
          <w:rFonts w:eastAsia="Calibri"/>
        </w:rPr>
        <w:t xml:space="preserve"> an der Energiewende</w:t>
      </w:r>
      <w:r w:rsidR="00921DD8" w:rsidRPr="008302EE">
        <w:rPr>
          <w:rFonts w:eastAsia="Calibri"/>
          <w:highlight w:val="yellow"/>
        </w:rPr>
        <w:t>. X</w:t>
      </w:r>
      <w:r w:rsidR="00921DD8" w:rsidRPr="008302EE">
        <w:rPr>
          <w:rFonts w:eastAsia="Calibri"/>
          <w:b/>
          <w:bCs/>
          <w:highlight w:val="yellow"/>
        </w:rPr>
        <w:t xml:space="preserve"> </w:t>
      </w:r>
      <w:r w:rsidR="00921DD8" w:rsidRPr="008302EE">
        <w:rPr>
          <w:rFonts w:eastAsia="Calibri"/>
          <w:highlight w:val="yellow"/>
        </w:rPr>
        <w:t>Menschen</w:t>
      </w:r>
      <w:r w:rsidR="002A1B89">
        <w:rPr>
          <w:rFonts w:eastAsia="Calibri"/>
          <w:highlight w:val="yellow"/>
        </w:rPr>
        <w:t xml:space="preserve"> </w:t>
      </w:r>
      <w:r w:rsidR="00921DD8" w:rsidRPr="008302EE">
        <w:rPr>
          <w:rFonts w:eastAsia="Calibri"/>
          <w:highlight w:val="yellow"/>
        </w:rPr>
        <w:t>engagieren sich in unserer Energiegenossenschaft mit X genossenschaftlichen Energieprojekten</w:t>
      </w:r>
      <w:r w:rsidR="00921DD8" w:rsidRPr="008302EE">
        <w:rPr>
          <w:rFonts w:eastAsia="Calibri"/>
        </w:rPr>
        <w:t>. Unsere Energieprojekte sichern regionale Wertschöpfung</w:t>
      </w:r>
      <w:r w:rsidR="002A1B89">
        <w:rPr>
          <w:rFonts w:eastAsia="Calibri"/>
        </w:rPr>
        <w:t xml:space="preserve"> </w:t>
      </w:r>
      <w:r w:rsidR="00921DD8" w:rsidRPr="008302EE">
        <w:rPr>
          <w:rFonts w:eastAsia="Calibri"/>
        </w:rPr>
        <w:t>und</w:t>
      </w:r>
      <w:r w:rsidR="002A1B89">
        <w:rPr>
          <w:rFonts w:eastAsia="Calibri"/>
        </w:rPr>
        <w:t xml:space="preserve"> </w:t>
      </w:r>
      <w:r w:rsidR="00921DD8" w:rsidRPr="008302EE">
        <w:rPr>
          <w:rFonts w:eastAsia="Calibri"/>
        </w:rPr>
        <w:t xml:space="preserve">demokratische Mitbestimmung. </w:t>
      </w:r>
    </w:p>
    <w:p w14:paraId="73D3AE28" w14:textId="45F26F55" w:rsidR="009A2E8B" w:rsidRDefault="004B0D2C" w:rsidP="008302EE">
      <w:r w:rsidRPr="008302EE">
        <w:rPr>
          <w:rFonts w:eastAsia="Calibri"/>
        </w:rPr>
        <w:t>Wir fordern Sie daher auf,</w:t>
      </w:r>
      <w:r w:rsidR="007A7B69" w:rsidRPr="008302EE">
        <w:rPr>
          <w:rFonts w:eastAsia="Calibri"/>
        </w:rPr>
        <w:t xml:space="preserve"> </w:t>
      </w:r>
      <w:r w:rsidRPr="008302EE">
        <w:rPr>
          <w:rFonts w:eastAsia="Calibri"/>
        </w:rPr>
        <w:t xml:space="preserve">die Umsetzung </w:t>
      </w:r>
      <w:r w:rsidR="007A7B69" w:rsidRPr="008302EE">
        <w:rPr>
          <w:rFonts w:eastAsia="Calibri"/>
        </w:rPr>
        <w:t>neuer</w:t>
      </w:r>
      <w:r w:rsidRPr="008302EE">
        <w:rPr>
          <w:rFonts w:eastAsia="Calibri"/>
        </w:rPr>
        <w:t xml:space="preserve"> </w:t>
      </w:r>
      <w:r w:rsidR="004244EB">
        <w:rPr>
          <w:rFonts w:eastAsia="Calibri"/>
        </w:rPr>
        <w:t xml:space="preserve">gemeinschaftlicher </w:t>
      </w:r>
      <w:r w:rsidRPr="008302EE">
        <w:rPr>
          <w:rFonts w:eastAsia="Calibri"/>
        </w:rPr>
        <w:t>Energieprojekten</w:t>
      </w:r>
      <w:r w:rsidR="007A7B69" w:rsidRPr="008302EE">
        <w:rPr>
          <w:rFonts w:eastAsia="Calibri"/>
        </w:rPr>
        <w:t xml:space="preserve"> auch</w:t>
      </w:r>
      <w:r w:rsidRPr="008302EE">
        <w:rPr>
          <w:rFonts w:eastAsia="Calibri"/>
        </w:rPr>
        <w:t xml:space="preserve"> im zukünftigen Strommarkt sicherzustellen.</w:t>
      </w:r>
      <w:r w:rsidR="007A7B69" w:rsidRPr="008302EE">
        <w:rPr>
          <w:rFonts w:eastAsia="Calibri"/>
        </w:rPr>
        <w:t xml:space="preserve"> </w:t>
      </w:r>
      <w:r w:rsidR="009A2E8B" w:rsidRPr="008302EE">
        <w:rPr>
          <w:rFonts w:eastAsia="Calibri"/>
        </w:rPr>
        <w:t>Dabei sollten die</w:t>
      </w:r>
      <w:r w:rsidR="00921DD8" w:rsidRPr="00921DD8">
        <w:t xml:space="preserve"> unternehmerische</w:t>
      </w:r>
      <w:r w:rsidR="009A2E8B">
        <w:t>n</w:t>
      </w:r>
      <w:r w:rsidR="00921DD8" w:rsidRPr="00921DD8">
        <w:t xml:space="preserve"> Besonderheit</w:t>
      </w:r>
      <w:r w:rsidR="009A2E8B">
        <w:t>en der</w:t>
      </w:r>
      <w:r w:rsidR="00921DD8" w:rsidRPr="00921DD8">
        <w:t xml:space="preserve"> Energiegenossenschaft</w:t>
      </w:r>
      <w:r w:rsidR="009A2E8B">
        <w:t>en</w:t>
      </w:r>
      <w:r w:rsidR="00921DD8" w:rsidRPr="00921DD8">
        <w:t xml:space="preserve"> in Gesetzgebungsverfahren </w:t>
      </w:r>
      <w:r w:rsidR="004244EB">
        <w:t xml:space="preserve">einfließen. </w:t>
      </w:r>
      <w:r w:rsidR="00921DD8">
        <w:t xml:space="preserve">Mit </w:t>
      </w:r>
      <w:r w:rsidR="004244EB">
        <w:t>Blick auf die</w:t>
      </w:r>
      <w:r w:rsidR="00921DD8">
        <w:t xml:space="preserve"> bevorstehende Bundestagswahl</w:t>
      </w:r>
      <w:r w:rsidR="004244EB">
        <w:t xml:space="preserve"> richten wir </w:t>
      </w:r>
      <w:r w:rsidR="00445922">
        <w:t xml:space="preserve">uns </w:t>
      </w:r>
      <w:r w:rsidR="004244EB">
        <w:t>daher mit folgenden Positionen an Sie:</w:t>
      </w:r>
      <w:r w:rsidR="00921DD8">
        <w:t xml:space="preserve"> </w:t>
      </w:r>
    </w:p>
    <w:p w14:paraId="0D4A20C6" w14:textId="00A5DB90" w:rsidR="001A3691" w:rsidRPr="008302EE" w:rsidRDefault="001A3691" w:rsidP="008302EE">
      <w:pPr>
        <w:pStyle w:val="Listenabsatz"/>
        <w:numPr>
          <w:ilvl w:val="0"/>
          <w:numId w:val="2"/>
        </w:numPr>
        <w:rPr>
          <w:rFonts w:eastAsia="Calibri"/>
          <w:b/>
          <w:bCs/>
        </w:rPr>
      </w:pPr>
      <w:r w:rsidRPr="008302EE">
        <w:rPr>
          <w:rFonts w:eastAsia="Calibri"/>
          <w:b/>
          <w:bCs/>
        </w:rPr>
        <w:t xml:space="preserve">Planungssicherheit </w:t>
      </w:r>
      <w:r w:rsidR="00174DBC" w:rsidRPr="008302EE">
        <w:rPr>
          <w:rFonts w:eastAsia="Calibri"/>
          <w:b/>
          <w:bCs/>
        </w:rPr>
        <w:t>im zukünftigen Strommarkt gewährleisten</w:t>
      </w:r>
    </w:p>
    <w:p w14:paraId="750EEF2F" w14:textId="2B36D944" w:rsidR="001A3691" w:rsidRDefault="001A3691" w:rsidP="001A3691">
      <w:pPr>
        <w:pStyle w:val="Listenabsatz"/>
        <w:spacing w:beforeAutospacing="1" w:afterAutospacing="1"/>
        <w:rPr>
          <w:rFonts w:eastAsia="Calibri"/>
        </w:rPr>
      </w:pPr>
      <w:r>
        <w:rPr>
          <w:rFonts w:eastAsia="Calibri"/>
        </w:rPr>
        <w:t>Eine</w:t>
      </w:r>
      <w:r w:rsidRPr="001A3691">
        <w:rPr>
          <w:rFonts w:eastAsia="Calibri"/>
        </w:rPr>
        <w:t xml:space="preserve"> gesetzliche</w:t>
      </w:r>
      <w:r w:rsidRPr="008302EE">
        <w:rPr>
          <w:rFonts w:eastAsia="Calibri"/>
        </w:rPr>
        <w:t xml:space="preserve"> </w:t>
      </w:r>
      <w:r w:rsidRPr="001A3691">
        <w:rPr>
          <w:rFonts w:eastAsia="Calibri"/>
        </w:rPr>
        <w:t xml:space="preserve">Finanzierung </w:t>
      </w:r>
      <w:r>
        <w:rPr>
          <w:rFonts w:eastAsia="Calibri"/>
        </w:rPr>
        <w:t>ist unverzichtbar</w:t>
      </w:r>
      <w:r w:rsidRPr="001A3691">
        <w:rPr>
          <w:rFonts w:eastAsia="Calibri"/>
        </w:rPr>
        <w:t xml:space="preserve"> und </w:t>
      </w:r>
      <w:r>
        <w:rPr>
          <w:rFonts w:eastAsia="Calibri"/>
        </w:rPr>
        <w:t xml:space="preserve">muss </w:t>
      </w:r>
      <w:r w:rsidRPr="001A3691">
        <w:rPr>
          <w:rFonts w:eastAsia="Calibri"/>
        </w:rPr>
        <w:t>ausgebaut werden. Ein zukünftiges Fördersystem muss allen Marktakteuren die Realisierung von EE-Projekten in allen Marktsegmenten ermöglichen und zuvor in</w:t>
      </w:r>
      <w:r w:rsidR="002A1B89">
        <w:rPr>
          <w:rFonts w:eastAsia="Calibri"/>
        </w:rPr>
        <w:t xml:space="preserve"> </w:t>
      </w:r>
      <w:r w:rsidRPr="001A3691">
        <w:rPr>
          <w:rFonts w:eastAsia="Calibri"/>
        </w:rPr>
        <w:t>Reallaboren</w:t>
      </w:r>
      <w:r w:rsidR="002A1B89">
        <w:rPr>
          <w:rFonts w:eastAsia="Calibri"/>
        </w:rPr>
        <w:t xml:space="preserve"> </w:t>
      </w:r>
      <w:r w:rsidRPr="001A3691">
        <w:rPr>
          <w:rFonts w:eastAsia="Calibri"/>
        </w:rPr>
        <w:t>getestet werden.</w:t>
      </w:r>
    </w:p>
    <w:p w14:paraId="7B4023E4" w14:textId="0081CDA5" w:rsidR="004763FD" w:rsidRPr="004763FD" w:rsidRDefault="004763FD" w:rsidP="004763FD">
      <w:pPr>
        <w:pStyle w:val="Listenabsatz"/>
        <w:numPr>
          <w:ilvl w:val="0"/>
          <w:numId w:val="2"/>
        </w:numPr>
        <w:rPr>
          <w:rFonts w:eastAsia="Calibri"/>
        </w:rPr>
      </w:pPr>
      <w:r w:rsidRPr="004763FD">
        <w:rPr>
          <w:rFonts w:eastAsia="Calibri"/>
          <w:b/>
          <w:bCs/>
        </w:rPr>
        <w:t>Energy Sharing umsetzen</w:t>
      </w:r>
    </w:p>
    <w:p w14:paraId="01AFFF15" w14:textId="2D9E5312" w:rsidR="00A4603B" w:rsidRDefault="009A2E8B" w:rsidP="00A4603B">
      <w:pPr>
        <w:pStyle w:val="Listenabsatz"/>
        <w:spacing w:beforeAutospacing="1"/>
        <w:rPr>
          <w:rFonts w:eastAsia="Calibri"/>
        </w:rPr>
      </w:pPr>
      <w:r>
        <w:rPr>
          <w:rFonts w:eastAsia="Calibri"/>
        </w:rPr>
        <w:t xml:space="preserve">Um besser auf lokale Signale reagieren zu können, </w:t>
      </w:r>
      <w:r w:rsidR="00174DBC">
        <w:rPr>
          <w:rFonts w:eastAsia="Calibri"/>
        </w:rPr>
        <w:t xml:space="preserve">braucht </w:t>
      </w:r>
      <w:r>
        <w:rPr>
          <w:rFonts w:eastAsia="Calibri"/>
        </w:rPr>
        <w:t>es</w:t>
      </w:r>
      <w:r w:rsidR="00174DBC">
        <w:rPr>
          <w:rFonts w:eastAsia="Calibri"/>
        </w:rPr>
        <w:t xml:space="preserve"> </w:t>
      </w:r>
      <w:r>
        <w:rPr>
          <w:rFonts w:eastAsia="Calibri"/>
        </w:rPr>
        <w:t>alternative</w:t>
      </w:r>
      <w:r w:rsidR="00174DBC">
        <w:rPr>
          <w:rFonts w:eastAsia="Calibri"/>
        </w:rPr>
        <w:t xml:space="preserve"> Versorgungskonzepte. </w:t>
      </w:r>
      <w:r w:rsidR="004763FD" w:rsidRPr="004763FD">
        <w:rPr>
          <w:rFonts w:eastAsia="Calibri"/>
        </w:rPr>
        <w:t xml:space="preserve">Nicht nur die Erzeugung, sondern auch die gemeinschaftliche Stromlieferung </w:t>
      </w:r>
      <w:r w:rsidR="004763FD">
        <w:rPr>
          <w:rFonts w:eastAsia="Calibri"/>
        </w:rPr>
        <w:t>als</w:t>
      </w:r>
      <w:r w:rsidR="004763FD" w:rsidRPr="004763FD">
        <w:rPr>
          <w:rFonts w:eastAsia="Calibri"/>
        </w:rPr>
        <w:t xml:space="preserve"> Energiegenossenschaft vor Ort muss erleichtert</w:t>
      </w:r>
      <w:r w:rsidR="002A1B89">
        <w:rPr>
          <w:rFonts w:eastAsia="Calibri"/>
        </w:rPr>
        <w:t xml:space="preserve"> </w:t>
      </w:r>
      <w:r w:rsidR="004763FD" w:rsidRPr="004763FD">
        <w:rPr>
          <w:rFonts w:eastAsia="Calibri"/>
        </w:rPr>
        <w:t xml:space="preserve">werden. Deswegen muss Energy Sharing schnellstmöglich gesetzgeberisch umgesetzt werden. Hierfür müssen die Vorgaben der EU-Kommission zum „Energy Sharing“ in Artikel 22 Abs. 2b Erneuerbare-Energien-Richtlinie umgesetzt werden. </w:t>
      </w:r>
    </w:p>
    <w:p w14:paraId="6840D768" w14:textId="23432A9F" w:rsidR="00A4603B" w:rsidRPr="00A4603B" w:rsidRDefault="00A4603B" w:rsidP="00A4603B">
      <w:pPr>
        <w:pStyle w:val="Listenabsatz"/>
        <w:numPr>
          <w:ilvl w:val="0"/>
          <w:numId w:val="2"/>
        </w:numPr>
        <w:spacing w:beforeAutospacing="1"/>
        <w:rPr>
          <w:rFonts w:eastAsia="Calibri"/>
        </w:rPr>
      </w:pPr>
      <w:r w:rsidRPr="00A4603B">
        <w:rPr>
          <w:rFonts w:eastAsia="Calibri"/>
          <w:b/>
          <w:bCs/>
        </w:rPr>
        <w:t>Pachtpreise deckeln und Flächenerwerb lokaler Akteure priorisieren</w:t>
      </w:r>
    </w:p>
    <w:p w14:paraId="11A7AA66" w14:textId="0862220E" w:rsidR="00A4603B" w:rsidRPr="00A4603B" w:rsidRDefault="00A4603B" w:rsidP="00A4603B">
      <w:pPr>
        <w:pStyle w:val="Listenabsatz"/>
        <w:spacing w:beforeAutospacing="1"/>
        <w:rPr>
          <w:rFonts w:eastAsia="Calibri"/>
        </w:rPr>
      </w:pPr>
      <w:r w:rsidRPr="002E3D98">
        <w:rPr>
          <w:rFonts w:eastAsia="Calibri"/>
        </w:rPr>
        <w:t>Der</w:t>
      </w:r>
      <w:r w:rsidR="002A1B89">
        <w:rPr>
          <w:rFonts w:eastAsia="Calibri"/>
        </w:rPr>
        <w:t xml:space="preserve"> </w:t>
      </w:r>
      <w:r w:rsidRPr="002E3D98">
        <w:rPr>
          <w:rFonts w:eastAsia="Calibri"/>
        </w:rPr>
        <w:t>Konkurrenzkampf um geeignete Flächen ist</w:t>
      </w:r>
      <w:r w:rsidR="002A1B89">
        <w:rPr>
          <w:rFonts w:eastAsia="Calibri"/>
        </w:rPr>
        <w:t xml:space="preserve"> </w:t>
      </w:r>
      <w:r w:rsidRPr="002E3D98">
        <w:rPr>
          <w:rFonts w:eastAsia="Calibri"/>
        </w:rPr>
        <w:t>groß. Dies spiegelt sich auch in</w:t>
      </w:r>
      <w:r w:rsidR="002A1B89">
        <w:rPr>
          <w:rFonts w:eastAsia="Calibri"/>
        </w:rPr>
        <w:t xml:space="preserve"> </w:t>
      </w:r>
      <w:r w:rsidRPr="002E3D98">
        <w:rPr>
          <w:rFonts w:eastAsia="Calibri"/>
        </w:rPr>
        <w:t>steigenden Pachtpreisen</w:t>
      </w:r>
      <w:r w:rsidR="002A1B89">
        <w:rPr>
          <w:rFonts w:eastAsia="Calibri"/>
        </w:rPr>
        <w:t xml:space="preserve"> </w:t>
      </w:r>
      <w:r w:rsidRPr="002E3D98">
        <w:rPr>
          <w:rFonts w:eastAsia="Calibri"/>
        </w:rPr>
        <w:t xml:space="preserve">wider. </w:t>
      </w:r>
      <w:r w:rsidR="004244EB">
        <w:rPr>
          <w:rFonts w:eastAsia="Calibri"/>
        </w:rPr>
        <w:t xml:space="preserve">Der </w:t>
      </w:r>
      <w:r w:rsidRPr="002E3D98">
        <w:rPr>
          <w:rFonts w:eastAsia="Calibri"/>
        </w:rPr>
        <w:t xml:space="preserve">Flächenerwerb </w:t>
      </w:r>
      <w:r w:rsidR="004244EB">
        <w:rPr>
          <w:rFonts w:eastAsia="Calibri"/>
        </w:rPr>
        <w:t xml:space="preserve">für Vorhaben </w:t>
      </w:r>
      <w:r w:rsidRPr="002E3D98">
        <w:rPr>
          <w:rFonts w:eastAsia="Calibri"/>
        </w:rPr>
        <w:t xml:space="preserve">lokaler Akteure muss priorisiert und geschützt werden, um die Akzeptanz </w:t>
      </w:r>
      <w:r w:rsidR="002A1B89">
        <w:rPr>
          <w:rFonts w:eastAsia="Calibri"/>
        </w:rPr>
        <w:t>der Menschen</w:t>
      </w:r>
      <w:r w:rsidRPr="002E3D98">
        <w:rPr>
          <w:rFonts w:eastAsia="Calibri"/>
        </w:rPr>
        <w:t xml:space="preserve"> durch Beteiligung zu gewährleisten</w:t>
      </w:r>
      <w:r w:rsidR="004244EB">
        <w:rPr>
          <w:rFonts w:eastAsia="Calibri"/>
        </w:rPr>
        <w:t>.</w:t>
      </w:r>
    </w:p>
    <w:p w14:paraId="6147DC9E" w14:textId="77777777" w:rsidR="004763FD" w:rsidRPr="004763FD" w:rsidRDefault="004763FD" w:rsidP="004763FD">
      <w:pPr>
        <w:pStyle w:val="Listenabsatz"/>
        <w:numPr>
          <w:ilvl w:val="0"/>
          <w:numId w:val="2"/>
        </w:numPr>
        <w:rPr>
          <w:rFonts w:eastAsia="Calibri"/>
        </w:rPr>
      </w:pPr>
      <w:r w:rsidRPr="004763FD">
        <w:rPr>
          <w:rFonts w:eastAsia="Calibri"/>
          <w:b/>
          <w:bCs/>
        </w:rPr>
        <w:t>Zubau von PV-Anlagen unter 100 kWp erhalten</w:t>
      </w:r>
    </w:p>
    <w:p w14:paraId="1CE772F1" w14:textId="05EFC021" w:rsidR="004763FD" w:rsidRDefault="004763FD" w:rsidP="004763FD">
      <w:pPr>
        <w:pStyle w:val="Listenabsatz"/>
        <w:spacing w:beforeAutospacing="1"/>
        <w:rPr>
          <w:rFonts w:eastAsia="Calibri"/>
        </w:rPr>
      </w:pPr>
      <w:r w:rsidRPr="004763FD">
        <w:rPr>
          <w:rFonts w:eastAsia="Calibri"/>
        </w:rPr>
        <w:t>Eine wirtschaftliche Direktvermarktung von EE-Anlagen unter 100 kWp ist bisher nicht möglich. Deswegen darf die</w:t>
      </w:r>
      <w:r w:rsidR="002A1B89">
        <w:rPr>
          <w:rFonts w:eastAsia="Calibri"/>
        </w:rPr>
        <w:t xml:space="preserve"> </w:t>
      </w:r>
      <w:r w:rsidRPr="004763FD">
        <w:rPr>
          <w:rFonts w:eastAsia="Calibri"/>
        </w:rPr>
        <w:t>Direktvermarktungsgrenze</w:t>
      </w:r>
      <w:r w:rsidR="002A1B89">
        <w:rPr>
          <w:rFonts w:eastAsia="Calibri"/>
        </w:rPr>
        <w:t xml:space="preserve"> </w:t>
      </w:r>
      <w:r w:rsidRPr="004763FD">
        <w:rPr>
          <w:rFonts w:eastAsia="Calibri"/>
        </w:rPr>
        <w:t>gesetzlich nur abgesenkt werden,</w:t>
      </w:r>
      <w:r w:rsidR="002E3D98">
        <w:rPr>
          <w:rFonts w:eastAsia="Calibri"/>
        </w:rPr>
        <w:t xml:space="preserve"> wenn unsere </w:t>
      </w:r>
      <w:r w:rsidRPr="004763FD">
        <w:rPr>
          <w:rFonts w:eastAsia="Calibri"/>
        </w:rPr>
        <w:t>Anlagen unter 100 kWp überhaupt</w:t>
      </w:r>
      <w:r w:rsidR="002E3D98" w:rsidRPr="002E3D98">
        <w:rPr>
          <w:rFonts w:eastAsia="Calibri"/>
        </w:rPr>
        <w:t xml:space="preserve"> </w:t>
      </w:r>
      <w:r w:rsidR="002E3D98" w:rsidRPr="004763FD">
        <w:rPr>
          <w:rFonts w:eastAsia="Calibri"/>
        </w:rPr>
        <w:t>wirtschaftlich</w:t>
      </w:r>
      <w:r w:rsidR="004244EB">
        <w:rPr>
          <w:rFonts w:eastAsia="Calibri"/>
        </w:rPr>
        <w:t xml:space="preserve"> direktvermarktet werden</w:t>
      </w:r>
      <w:r w:rsidR="002E3D98">
        <w:rPr>
          <w:rFonts w:eastAsia="Calibri"/>
        </w:rPr>
        <w:t xml:space="preserve"> können.</w:t>
      </w:r>
      <w:r w:rsidR="002A1B89">
        <w:rPr>
          <w:rFonts w:eastAsia="Calibri"/>
        </w:rPr>
        <w:t xml:space="preserve"> </w:t>
      </w:r>
      <w:r w:rsidRPr="004763FD">
        <w:rPr>
          <w:rFonts w:eastAsia="Calibri"/>
        </w:rPr>
        <w:t>Solange dies nicht gewährleistet ist, dürfen die Direktvermarktungsgrenzen nicht gesenkt werden.</w:t>
      </w:r>
    </w:p>
    <w:p w14:paraId="1FEA9687" w14:textId="77777777" w:rsidR="00A4603B" w:rsidRPr="002E3D98" w:rsidRDefault="00A4603B" w:rsidP="00A4603B">
      <w:pPr>
        <w:pStyle w:val="Listenabsatz"/>
        <w:numPr>
          <w:ilvl w:val="0"/>
          <w:numId w:val="2"/>
        </w:numPr>
        <w:rPr>
          <w:rFonts w:eastAsia="Calibri"/>
        </w:rPr>
      </w:pPr>
      <w:r w:rsidRPr="002E3D98">
        <w:rPr>
          <w:rFonts w:eastAsia="Calibri"/>
          <w:b/>
          <w:bCs/>
        </w:rPr>
        <w:t>Stromnetze ausbauen und Speicherausbau anreizen</w:t>
      </w:r>
    </w:p>
    <w:p w14:paraId="15740B84" w14:textId="71F6AA56" w:rsidR="00A4603B" w:rsidRPr="00A4603B" w:rsidRDefault="00A4603B" w:rsidP="00A4603B">
      <w:pPr>
        <w:pStyle w:val="Listenabsatz"/>
        <w:spacing w:beforeAutospacing="1"/>
        <w:rPr>
          <w:rFonts w:eastAsia="Calibri"/>
        </w:rPr>
      </w:pPr>
      <w:r w:rsidRPr="002E3D98">
        <w:rPr>
          <w:rFonts w:eastAsia="Calibri"/>
        </w:rPr>
        <w:t xml:space="preserve">Der langsame Netzausbau darf nicht zum Hindernis für einen flächendeckenden Ausbau der erneuerbaren Energien werden. Nach den Rekord-Ausbauzahlen in den letzten </w:t>
      </w:r>
      <w:r w:rsidRPr="002E3D98">
        <w:rPr>
          <w:rFonts w:eastAsia="Calibri"/>
        </w:rPr>
        <w:lastRenderedPageBreak/>
        <w:t>Jahren kommt es vermehrt zur Abschaltung von PV- und Windkraftanlagen aufgrund von</w:t>
      </w:r>
      <w:r w:rsidR="002A1B89">
        <w:rPr>
          <w:rFonts w:eastAsia="Calibri"/>
        </w:rPr>
        <w:t xml:space="preserve"> </w:t>
      </w:r>
      <w:r w:rsidRPr="002E3D98">
        <w:rPr>
          <w:rFonts w:eastAsia="Calibri"/>
        </w:rPr>
        <w:t>Netzengpässen. Um die</w:t>
      </w:r>
      <w:r w:rsidR="002A1B89">
        <w:rPr>
          <w:rFonts w:eastAsia="Calibri"/>
        </w:rPr>
        <w:t xml:space="preserve"> </w:t>
      </w:r>
      <w:r w:rsidRPr="002E3D98">
        <w:rPr>
          <w:rFonts w:eastAsia="Calibri"/>
        </w:rPr>
        <w:t>Systemstabilität</w:t>
      </w:r>
      <w:r w:rsidR="002A1B89">
        <w:rPr>
          <w:rFonts w:eastAsia="Calibri"/>
        </w:rPr>
        <w:t xml:space="preserve"> </w:t>
      </w:r>
      <w:r w:rsidRPr="002E3D98">
        <w:rPr>
          <w:rFonts w:eastAsia="Calibri"/>
        </w:rPr>
        <w:t xml:space="preserve">beim weiteren Ausbau zu gewährleisten und wirtschaftliche Ineffizienzen zu vermeiden, muss neben </w:t>
      </w:r>
      <w:r w:rsidRPr="00A4603B">
        <w:rPr>
          <w:rFonts w:eastAsia="Calibri"/>
        </w:rPr>
        <w:t>dem</w:t>
      </w:r>
      <w:r w:rsidR="002A1B89">
        <w:rPr>
          <w:rFonts w:eastAsia="Calibri"/>
        </w:rPr>
        <w:t xml:space="preserve"> </w:t>
      </w:r>
      <w:r w:rsidRPr="002E3D98">
        <w:rPr>
          <w:rFonts w:eastAsia="Calibri"/>
        </w:rPr>
        <w:t>stärkeren Netzausbau</w:t>
      </w:r>
      <w:r w:rsidR="002A1B89">
        <w:rPr>
          <w:rFonts w:eastAsia="Calibri"/>
        </w:rPr>
        <w:t xml:space="preserve"> </w:t>
      </w:r>
      <w:r w:rsidRPr="002E3D98">
        <w:rPr>
          <w:rFonts w:eastAsia="Calibri"/>
        </w:rPr>
        <w:t>auf den</w:t>
      </w:r>
      <w:r w:rsidR="002A1B89">
        <w:rPr>
          <w:rFonts w:eastAsia="Calibri"/>
        </w:rPr>
        <w:t xml:space="preserve"> </w:t>
      </w:r>
      <w:r w:rsidRPr="002E3D98">
        <w:rPr>
          <w:rFonts w:eastAsia="Calibri"/>
        </w:rPr>
        <w:t>vermehrten Einsatz von Speichern</w:t>
      </w:r>
      <w:r w:rsidR="002A1B89">
        <w:rPr>
          <w:rFonts w:eastAsia="Calibri"/>
        </w:rPr>
        <w:t xml:space="preserve"> </w:t>
      </w:r>
      <w:r w:rsidRPr="002E3D98">
        <w:rPr>
          <w:rFonts w:eastAsia="Calibri"/>
        </w:rPr>
        <w:t>gesetzt werden</w:t>
      </w:r>
      <w:r w:rsidRPr="00A4603B">
        <w:rPr>
          <w:rFonts w:eastAsia="Calibri"/>
        </w:rPr>
        <w:t>.</w:t>
      </w:r>
      <w:r>
        <w:rPr>
          <w:rFonts w:eastAsia="Calibri"/>
        </w:rPr>
        <w:t xml:space="preserve"> Dazu muss auch die </w:t>
      </w:r>
      <w:r w:rsidRPr="002E3D98">
        <w:rPr>
          <w:rFonts w:eastAsia="Calibri"/>
        </w:rPr>
        <w:t>Überbauung</w:t>
      </w:r>
      <w:r w:rsidR="002A1B89">
        <w:rPr>
          <w:rFonts w:eastAsia="Calibri"/>
        </w:rPr>
        <w:t xml:space="preserve"> </w:t>
      </w:r>
      <w:r w:rsidRPr="002E3D98">
        <w:rPr>
          <w:rFonts w:eastAsia="Calibri"/>
        </w:rPr>
        <w:t>von Netzanschlüssen gesetzlich normiert</w:t>
      </w:r>
      <w:r>
        <w:rPr>
          <w:rFonts w:eastAsia="Calibri"/>
        </w:rPr>
        <w:t xml:space="preserve"> werden.</w:t>
      </w:r>
    </w:p>
    <w:p w14:paraId="5E0A0FD8" w14:textId="187C142F" w:rsidR="002E3D98" w:rsidRPr="002E3D98" w:rsidRDefault="002E3D98" w:rsidP="002E3D98">
      <w:pPr>
        <w:pStyle w:val="Listenabsatz"/>
        <w:numPr>
          <w:ilvl w:val="0"/>
          <w:numId w:val="2"/>
        </w:numPr>
        <w:rPr>
          <w:rFonts w:eastAsia="Calibri"/>
        </w:rPr>
      </w:pPr>
      <w:r w:rsidRPr="002E3D98">
        <w:rPr>
          <w:rFonts w:eastAsia="Calibri"/>
          <w:b/>
          <w:bCs/>
        </w:rPr>
        <w:t>Förderprogramm „Bürgerenergiegesellschaften“ ausweiten</w:t>
      </w:r>
    </w:p>
    <w:p w14:paraId="7AA97705" w14:textId="7404D9ED" w:rsidR="002E3D98" w:rsidRDefault="002E3D98" w:rsidP="002E3D98">
      <w:pPr>
        <w:pStyle w:val="Listenabsatz"/>
        <w:spacing w:beforeAutospacing="1"/>
        <w:rPr>
          <w:rFonts w:eastAsia="Calibri"/>
        </w:rPr>
      </w:pPr>
      <w:r w:rsidRPr="002E3D98">
        <w:rPr>
          <w:rFonts w:eastAsia="Calibri"/>
        </w:rPr>
        <w:t>Das</w:t>
      </w:r>
      <w:r w:rsidR="002A1B89">
        <w:rPr>
          <w:rFonts w:eastAsia="Calibri"/>
        </w:rPr>
        <w:t xml:space="preserve"> </w:t>
      </w:r>
      <w:r w:rsidRPr="002E3D98">
        <w:rPr>
          <w:rFonts w:eastAsia="Calibri"/>
        </w:rPr>
        <w:t>Förderprogramm „Bürgerenergiegesellschaften“</w:t>
      </w:r>
      <w:r w:rsidR="00A4603B">
        <w:rPr>
          <w:rFonts w:eastAsia="Calibri"/>
        </w:rPr>
        <w:t xml:space="preserve"> muss</w:t>
      </w:r>
      <w:r w:rsidRPr="002E3D98">
        <w:rPr>
          <w:rFonts w:eastAsia="Calibri"/>
        </w:rPr>
        <w:t xml:space="preserve"> </w:t>
      </w:r>
      <w:r w:rsidR="004244EB">
        <w:rPr>
          <w:rFonts w:eastAsia="Calibri"/>
        </w:rPr>
        <w:t xml:space="preserve">auf </w:t>
      </w:r>
      <w:r w:rsidRPr="002E3D98">
        <w:rPr>
          <w:rFonts w:eastAsia="Calibri"/>
        </w:rPr>
        <w:t xml:space="preserve">Projekte </w:t>
      </w:r>
      <w:r w:rsidR="006622C6">
        <w:rPr>
          <w:rFonts w:eastAsia="Calibri"/>
        </w:rPr>
        <w:t>alle</w:t>
      </w:r>
      <w:r w:rsidRPr="002E3D98">
        <w:rPr>
          <w:rFonts w:eastAsia="Calibri"/>
        </w:rPr>
        <w:t xml:space="preserve"> Bereich</w:t>
      </w:r>
      <w:r w:rsidR="006622C6">
        <w:rPr>
          <w:rFonts w:eastAsia="Calibri"/>
        </w:rPr>
        <w:t>e</w:t>
      </w:r>
      <w:r w:rsidRPr="002E3D98">
        <w:rPr>
          <w:rFonts w:eastAsia="Calibri"/>
        </w:rPr>
        <w:t xml:space="preserve"> der erneuerbaren Stromerzeugung, erneuerbaren Wärme, neuen Mobilität, Energieeffizienz und Digitalisierung</w:t>
      </w:r>
      <w:r w:rsidR="00A4603B">
        <w:rPr>
          <w:rFonts w:eastAsia="Calibri"/>
        </w:rPr>
        <w:t xml:space="preserve"> </w:t>
      </w:r>
      <w:r w:rsidR="006622C6">
        <w:rPr>
          <w:rFonts w:eastAsia="Calibri"/>
        </w:rPr>
        <w:t>ausgeweitet werden</w:t>
      </w:r>
      <w:r w:rsidRPr="002E3D98">
        <w:rPr>
          <w:rFonts w:eastAsia="Calibri"/>
        </w:rPr>
        <w:t xml:space="preserve">. </w:t>
      </w:r>
    </w:p>
    <w:p w14:paraId="39D77EC2" w14:textId="50027F65" w:rsidR="00A4603B" w:rsidRPr="004763FD" w:rsidRDefault="00A4603B" w:rsidP="00A4603B">
      <w:pPr>
        <w:pStyle w:val="Listenabsatz"/>
        <w:numPr>
          <w:ilvl w:val="0"/>
          <w:numId w:val="2"/>
        </w:numPr>
        <w:rPr>
          <w:rFonts w:eastAsia="Calibri"/>
        </w:rPr>
      </w:pPr>
      <w:r w:rsidRPr="004763FD">
        <w:rPr>
          <w:rFonts w:eastAsia="Calibri"/>
          <w:b/>
          <w:bCs/>
        </w:rPr>
        <w:t>Regelungen für Bürgerenergiegesellschaften im EEG verbessern</w:t>
      </w:r>
    </w:p>
    <w:p w14:paraId="1FEB712F" w14:textId="729D78BA" w:rsidR="002E3D98" w:rsidRDefault="00A4603B" w:rsidP="00A4603B">
      <w:pPr>
        <w:pStyle w:val="Listenabsatz"/>
        <w:spacing w:beforeAutospacing="1"/>
        <w:rPr>
          <w:rFonts w:eastAsia="Calibri"/>
        </w:rPr>
      </w:pPr>
      <w:r w:rsidRPr="004763FD">
        <w:rPr>
          <w:rFonts w:eastAsia="Calibri"/>
        </w:rPr>
        <w:t>Die Regelungen für</w:t>
      </w:r>
      <w:r w:rsidR="002A1B89">
        <w:rPr>
          <w:rFonts w:eastAsia="Calibri"/>
        </w:rPr>
        <w:t xml:space="preserve"> </w:t>
      </w:r>
      <w:r w:rsidRPr="004763FD">
        <w:rPr>
          <w:rFonts w:eastAsia="Calibri"/>
        </w:rPr>
        <w:t>Bürgerenergiegesellschaften müssen</w:t>
      </w:r>
      <w:r w:rsidR="002A1B89">
        <w:rPr>
          <w:rFonts w:eastAsia="Calibri"/>
        </w:rPr>
        <w:t xml:space="preserve"> </w:t>
      </w:r>
      <w:r w:rsidRPr="004763FD">
        <w:rPr>
          <w:rFonts w:eastAsia="Calibri"/>
        </w:rPr>
        <w:t>näher an der energiegenossenschaftlichen Praxis</w:t>
      </w:r>
      <w:r w:rsidR="002A1B89">
        <w:rPr>
          <w:rFonts w:eastAsia="Calibri"/>
        </w:rPr>
        <w:t xml:space="preserve"> </w:t>
      </w:r>
      <w:r w:rsidRPr="004763FD">
        <w:rPr>
          <w:rFonts w:eastAsia="Calibri"/>
        </w:rPr>
        <w:t>ausgestaltet werden. Die</w:t>
      </w:r>
      <w:r w:rsidR="002A1B89">
        <w:rPr>
          <w:rFonts w:eastAsia="Calibri"/>
        </w:rPr>
        <w:t xml:space="preserve"> </w:t>
      </w:r>
      <w:r w:rsidRPr="004763FD">
        <w:rPr>
          <w:rFonts w:eastAsia="Calibri"/>
        </w:rPr>
        <w:t>Beschränkung für Bürgerenergiegesellschaften</w:t>
      </w:r>
      <w:r w:rsidR="002A1B89">
        <w:rPr>
          <w:rFonts w:eastAsia="Calibri"/>
        </w:rPr>
        <w:t xml:space="preserve"> </w:t>
      </w:r>
      <w:r w:rsidRPr="004763FD">
        <w:rPr>
          <w:rFonts w:eastAsia="Calibri"/>
        </w:rPr>
        <w:t>auf ein Projekt pro Technologie in einem festgelegten Zeitraum in § 22b Abs. 1 Nr. 3, Abs. 2 Nr. 2, Abs. 5 EEG 2023 muss gestrichen werden</w:t>
      </w:r>
      <w:r>
        <w:rPr>
          <w:rFonts w:eastAsia="Calibri"/>
        </w:rPr>
        <w:t>.</w:t>
      </w:r>
    </w:p>
    <w:p w14:paraId="7F20B015" w14:textId="0A31AC7B" w:rsidR="00A4603B" w:rsidRPr="008302EE" w:rsidRDefault="006622C6" w:rsidP="00A4603B">
      <w:pPr>
        <w:spacing w:beforeAutospacing="1"/>
        <w:rPr>
          <w:rFonts w:eastAsia="Calibri"/>
          <w:highlight w:val="yellow"/>
        </w:rPr>
      </w:pPr>
      <w:r>
        <w:rPr>
          <w:rFonts w:eastAsia="Calibri"/>
          <w:highlight w:val="yellow"/>
        </w:rPr>
        <w:t xml:space="preserve">Darüber hinaus setzen wir uns für eine lokale Wärmeversorgung aus erneuerbaren Quellen ein und tragen so zu einer verringerten die Abhängigkeit von Öl- und Gaslieferungen aus dem Ausland bei. Für eine erfolgreiche Wärmewende benötigt es langfristige Absicherung und Planungssicherheit. </w:t>
      </w:r>
    </w:p>
    <w:p w14:paraId="1C22F3C7" w14:textId="77777777" w:rsidR="0013243F" w:rsidRPr="008302EE" w:rsidRDefault="0013243F" w:rsidP="0013243F">
      <w:pPr>
        <w:pStyle w:val="Listenabsatz"/>
        <w:numPr>
          <w:ilvl w:val="0"/>
          <w:numId w:val="12"/>
        </w:numPr>
        <w:spacing w:beforeAutospacing="1"/>
        <w:rPr>
          <w:rFonts w:eastAsia="Calibri"/>
          <w:highlight w:val="yellow"/>
        </w:rPr>
      </w:pPr>
      <w:r w:rsidRPr="008302EE">
        <w:rPr>
          <w:rFonts w:eastAsia="Calibri"/>
          <w:b/>
          <w:bCs/>
          <w:highlight w:val="yellow"/>
        </w:rPr>
        <w:t>Langfristige, abgesicherte Finanzierungsmöglichkeiten schaffen</w:t>
      </w:r>
    </w:p>
    <w:p w14:paraId="08393E43" w14:textId="70F4C4BE" w:rsidR="0013243F" w:rsidRPr="008302EE" w:rsidRDefault="0013243F" w:rsidP="0013243F">
      <w:pPr>
        <w:pStyle w:val="Listenabsatz"/>
        <w:spacing w:beforeAutospacing="1"/>
        <w:rPr>
          <w:rFonts w:eastAsia="Calibri"/>
          <w:highlight w:val="yellow"/>
        </w:rPr>
      </w:pPr>
      <w:r w:rsidRPr="008302EE">
        <w:rPr>
          <w:rFonts w:eastAsia="Calibri"/>
          <w:highlight w:val="yellow"/>
        </w:rPr>
        <w:t>Damit Wärmenetze gebaut und erneuerbare Wärmequellen erschlossen werden können, braucht es</w:t>
      </w:r>
      <w:r w:rsidR="002A1B89">
        <w:rPr>
          <w:rFonts w:eastAsia="Calibri"/>
          <w:highlight w:val="yellow"/>
        </w:rPr>
        <w:t xml:space="preserve"> </w:t>
      </w:r>
      <w:r w:rsidRPr="008302EE">
        <w:rPr>
          <w:rFonts w:eastAsia="Calibri"/>
          <w:highlight w:val="yellow"/>
        </w:rPr>
        <w:t xml:space="preserve">langfristiges Kapital. </w:t>
      </w:r>
      <w:r w:rsidR="00903B5B">
        <w:rPr>
          <w:rFonts w:eastAsia="Calibri"/>
          <w:highlight w:val="yellow"/>
        </w:rPr>
        <w:t>Mitglieder von</w:t>
      </w:r>
      <w:r w:rsidR="00903B5B" w:rsidRPr="008302EE">
        <w:rPr>
          <w:rFonts w:eastAsia="Calibri"/>
          <w:highlight w:val="yellow"/>
        </w:rPr>
        <w:t xml:space="preserve"> </w:t>
      </w:r>
      <w:r w:rsidRPr="008302EE">
        <w:rPr>
          <w:rFonts w:eastAsia="Calibri"/>
          <w:highlight w:val="yellow"/>
        </w:rPr>
        <w:t>Genossenschaften</w:t>
      </w:r>
      <w:r w:rsidR="00903B5B">
        <w:rPr>
          <w:rFonts w:eastAsia="Calibri"/>
          <w:highlight w:val="yellow"/>
        </w:rPr>
        <w:t xml:space="preserve"> können Eigenkapital</w:t>
      </w:r>
      <w:r w:rsidRPr="008302EE">
        <w:rPr>
          <w:rFonts w:eastAsia="Calibri"/>
          <w:highlight w:val="yellow"/>
        </w:rPr>
        <w:t xml:space="preserve"> zur Verfügung</w:t>
      </w:r>
      <w:r w:rsidR="00903B5B">
        <w:rPr>
          <w:rFonts w:eastAsia="Calibri"/>
          <w:highlight w:val="yellow"/>
        </w:rPr>
        <w:t xml:space="preserve"> stellen -</w:t>
      </w:r>
      <w:r w:rsidRPr="008302EE">
        <w:rPr>
          <w:rFonts w:eastAsia="Calibri"/>
          <w:highlight w:val="yellow"/>
        </w:rPr>
        <w:t xml:space="preserve"> </w:t>
      </w:r>
      <w:r w:rsidR="00903B5B">
        <w:rPr>
          <w:rFonts w:eastAsia="Calibri"/>
          <w:highlight w:val="yellow"/>
        </w:rPr>
        <w:t>d</w:t>
      </w:r>
      <w:r w:rsidRPr="008302EE">
        <w:rPr>
          <w:rFonts w:eastAsia="Calibri"/>
          <w:highlight w:val="yellow"/>
        </w:rPr>
        <w:t xml:space="preserve">aneben muss der Großteil der Investition über Fremdkapital finanziert werden. </w:t>
      </w:r>
      <w:r w:rsidR="00903B5B">
        <w:rPr>
          <w:rFonts w:eastAsia="Calibri"/>
          <w:highlight w:val="yellow"/>
        </w:rPr>
        <w:t>Aufgrund von fehlenden Sicherheiten</w:t>
      </w:r>
      <w:r w:rsidR="00903B5B" w:rsidRPr="008302EE">
        <w:rPr>
          <w:rFonts w:eastAsia="Calibri"/>
          <w:highlight w:val="yellow"/>
        </w:rPr>
        <w:t xml:space="preserve"> </w:t>
      </w:r>
      <w:r w:rsidR="00903B5B">
        <w:rPr>
          <w:rFonts w:eastAsia="Calibri"/>
          <w:highlight w:val="yellow"/>
        </w:rPr>
        <w:t xml:space="preserve">fällt es </w:t>
      </w:r>
      <w:r w:rsidRPr="008302EE">
        <w:rPr>
          <w:rFonts w:eastAsia="Calibri"/>
          <w:highlight w:val="yellow"/>
        </w:rPr>
        <w:t xml:space="preserve">Genossenschaften </w:t>
      </w:r>
      <w:r w:rsidR="00903B5B">
        <w:rPr>
          <w:rFonts w:eastAsia="Calibri"/>
          <w:highlight w:val="yellow"/>
        </w:rPr>
        <w:t xml:space="preserve">oftmals </w:t>
      </w:r>
      <w:r w:rsidRPr="008302EE">
        <w:rPr>
          <w:rFonts w:eastAsia="Calibri"/>
          <w:highlight w:val="yellow"/>
        </w:rPr>
        <w:t>schwer, Zugang zu Fremdkapital zu bekommen. Um dies zu gewährleisten, braucht es daher einen</w:t>
      </w:r>
      <w:r w:rsidR="002A1B89">
        <w:rPr>
          <w:rFonts w:eastAsia="Calibri"/>
          <w:highlight w:val="yellow"/>
        </w:rPr>
        <w:t xml:space="preserve"> </w:t>
      </w:r>
      <w:r w:rsidRPr="008302EE">
        <w:rPr>
          <w:rFonts w:eastAsia="Calibri"/>
          <w:highlight w:val="yellow"/>
        </w:rPr>
        <w:t>Absicherungsmechanismus, entweder in Form eines bundesweiten</w:t>
      </w:r>
      <w:r w:rsidR="002A1B89">
        <w:rPr>
          <w:rFonts w:eastAsia="Calibri"/>
          <w:highlight w:val="yellow"/>
        </w:rPr>
        <w:t xml:space="preserve"> </w:t>
      </w:r>
      <w:r w:rsidRPr="008302EE">
        <w:rPr>
          <w:rFonts w:eastAsia="Calibri"/>
          <w:highlight w:val="yellow"/>
        </w:rPr>
        <w:t>Bürgschaftsprogramms</w:t>
      </w:r>
      <w:r w:rsidR="002A1B89">
        <w:rPr>
          <w:rFonts w:eastAsia="Calibri"/>
          <w:highlight w:val="yellow"/>
        </w:rPr>
        <w:t xml:space="preserve"> </w:t>
      </w:r>
      <w:r w:rsidRPr="008302EE">
        <w:rPr>
          <w:rFonts w:eastAsia="Calibri"/>
          <w:highlight w:val="yellow"/>
        </w:rPr>
        <w:t>oder eines</w:t>
      </w:r>
      <w:r w:rsidR="002A1B89">
        <w:rPr>
          <w:rFonts w:eastAsia="Calibri"/>
          <w:highlight w:val="yellow"/>
        </w:rPr>
        <w:t xml:space="preserve"> </w:t>
      </w:r>
      <w:r w:rsidRPr="008302EE">
        <w:rPr>
          <w:rFonts w:eastAsia="Calibri"/>
          <w:highlight w:val="yellow"/>
        </w:rPr>
        <w:t xml:space="preserve">KfW-Kredits mit Haftungsfreistellung. Auch Anreize für eine weitere Stärkung der Eigenkapitaldecke </w:t>
      </w:r>
      <w:r w:rsidR="00903B5B">
        <w:rPr>
          <w:rFonts w:eastAsia="Calibri"/>
          <w:highlight w:val="yellow"/>
        </w:rPr>
        <w:t>sollten</w:t>
      </w:r>
      <w:r w:rsidR="00903B5B" w:rsidRPr="008302EE">
        <w:rPr>
          <w:rFonts w:eastAsia="Calibri"/>
          <w:highlight w:val="yellow"/>
        </w:rPr>
        <w:t xml:space="preserve"> </w:t>
      </w:r>
      <w:r w:rsidRPr="008302EE">
        <w:rPr>
          <w:rFonts w:eastAsia="Calibri"/>
          <w:highlight w:val="yellow"/>
        </w:rPr>
        <w:t>geprüft werden.</w:t>
      </w:r>
    </w:p>
    <w:p w14:paraId="10BA3730" w14:textId="77777777" w:rsidR="00AD7ECA" w:rsidRPr="008302EE" w:rsidRDefault="0013243F" w:rsidP="001A7706">
      <w:pPr>
        <w:pStyle w:val="Listenabsatz"/>
        <w:numPr>
          <w:ilvl w:val="0"/>
          <w:numId w:val="12"/>
        </w:numPr>
        <w:spacing w:beforeAutospacing="1"/>
        <w:rPr>
          <w:rFonts w:eastAsia="Calibri"/>
          <w:highlight w:val="yellow"/>
        </w:rPr>
      </w:pPr>
      <w:r w:rsidRPr="008302EE">
        <w:rPr>
          <w:rFonts w:eastAsia="Calibri"/>
          <w:b/>
          <w:bCs/>
          <w:highlight w:val="yellow"/>
        </w:rPr>
        <w:t>Bürokratische Anforderungen überschaubar halten und Genehmigungen beschleunigen</w:t>
      </w:r>
    </w:p>
    <w:p w14:paraId="14F94D01" w14:textId="70E6F787" w:rsidR="00AD7ECA" w:rsidRPr="008302EE" w:rsidRDefault="00AD7ECA" w:rsidP="00AD7ECA">
      <w:pPr>
        <w:pStyle w:val="Listenabsatz"/>
        <w:spacing w:beforeAutospacing="1"/>
        <w:rPr>
          <w:rFonts w:eastAsia="Calibri"/>
          <w:highlight w:val="yellow"/>
        </w:rPr>
      </w:pPr>
      <w:r w:rsidRPr="008302EE">
        <w:rPr>
          <w:rFonts w:eastAsia="Calibri"/>
          <w:highlight w:val="yellow"/>
        </w:rPr>
        <w:t xml:space="preserve">Bei der </w:t>
      </w:r>
      <w:r w:rsidR="0013243F" w:rsidRPr="008302EE">
        <w:rPr>
          <w:rFonts w:eastAsia="Calibri"/>
          <w:highlight w:val="yellow"/>
        </w:rPr>
        <w:t xml:space="preserve">anstehenden Novelle der </w:t>
      </w:r>
      <w:proofErr w:type="spellStart"/>
      <w:r w:rsidR="0013243F" w:rsidRPr="008302EE">
        <w:rPr>
          <w:rFonts w:eastAsia="Calibri"/>
          <w:highlight w:val="yellow"/>
        </w:rPr>
        <w:t>AVBFernwärmev</w:t>
      </w:r>
      <w:r w:rsidR="008302EE">
        <w:rPr>
          <w:rFonts w:eastAsia="Calibri"/>
          <w:highlight w:val="yellow"/>
        </w:rPr>
        <w:t>er</w:t>
      </w:r>
      <w:r w:rsidR="0013243F" w:rsidRPr="008302EE">
        <w:rPr>
          <w:rFonts w:eastAsia="Calibri"/>
          <w:highlight w:val="yellow"/>
        </w:rPr>
        <w:t>ordnung</w:t>
      </w:r>
      <w:proofErr w:type="spellEnd"/>
      <w:r w:rsidRPr="008302EE">
        <w:rPr>
          <w:rFonts w:eastAsia="Calibri"/>
          <w:highlight w:val="yellow"/>
        </w:rPr>
        <w:t xml:space="preserve"> </w:t>
      </w:r>
      <w:r w:rsidR="00903B5B">
        <w:rPr>
          <w:rFonts w:eastAsia="Calibri"/>
          <w:highlight w:val="yellow"/>
        </w:rPr>
        <w:t>sollte</w:t>
      </w:r>
      <w:r w:rsidR="00903B5B" w:rsidRPr="008302EE">
        <w:rPr>
          <w:rFonts w:eastAsia="Calibri"/>
          <w:highlight w:val="yellow"/>
        </w:rPr>
        <w:t xml:space="preserve"> </w:t>
      </w:r>
      <w:r w:rsidR="0013243F" w:rsidRPr="008302EE">
        <w:rPr>
          <w:rFonts w:eastAsia="Calibri"/>
          <w:highlight w:val="yellow"/>
        </w:rPr>
        <w:t>berücksichtigt werden</w:t>
      </w:r>
      <w:r w:rsidR="00903B5B">
        <w:rPr>
          <w:rFonts w:eastAsia="Calibri"/>
          <w:highlight w:val="yellow"/>
        </w:rPr>
        <w:t>,</w:t>
      </w:r>
      <w:r w:rsidR="002A1B89">
        <w:rPr>
          <w:rFonts w:eastAsia="Calibri"/>
          <w:highlight w:val="yellow"/>
        </w:rPr>
        <w:t xml:space="preserve"> </w:t>
      </w:r>
      <w:r w:rsidR="0013243F" w:rsidRPr="008302EE">
        <w:rPr>
          <w:rFonts w:eastAsia="Calibri"/>
          <w:highlight w:val="yellow"/>
        </w:rPr>
        <w:t>Genehmigungen</w:t>
      </w:r>
      <w:r w:rsidR="002A1B89">
        <w:rPr>
          <w:rFonts w:eastAsia="Calibri"/>
          <w:highlight w:val="yellow"/>
        </w:rPr>
        <w:t xml:space="preserve"> </w:t>
      </w:r>
      <w:r w:rsidR="0013243F" w:rsidRPr="008302EE">
        <w:rPr>
          <w:rFonts w:eastAsia="Calibri"/>
          <w:highlight w:val="yellow"/>
        </w:rPr>
        <w:t>für Wärmenetze und Wärmeerzeugungsanlagen</w:t>
      </w:r>
      <w:r w:rsidRPr="008302EE">
        <w:rPr>
          <w:rFonts w:eastAsia="Calibri"/>
          <w:highlight w:val="yellow"/>
        </w:rPr>
        <w:t xml:space="preserve"> zu</w:t>
      </w:r>
      <w:r w:rsidR="002A1B89">
        <w:rPr>
          <w:rFonts w:eastAsia="Calibri"/>
          <w:highlight w:val="yellow"/>
        </w:rPr>
        <w:t xml:space="preserve"> </w:t>
      </w:r>
      <w:r w:rsidR="0013243F" w:rsidRPr="008302EE">
        <w:rPr>
          <w:rFonts w:eastAsia="Calibri"/>
          <w:highlight w:val="yellow"/>
        </w:rPr>
        <w:t>priorisier</w:t>
      </w:r>
      <w:r w:rsidRPr="008302EE">
        <w:rPr>
          <w:rFonts w:eastAsia="Calibri"/>
          <w:highlight w:val="yellow"/>
        </w:rPr>
        <w:t>en</w:t>
      </w:r>
      <w:r w:rsidR="0013243F" w:rsidRPr="008302EE">
        <w:rPr>
          <w:rFonts w:eastAsia="Calibri"/>
          <w:highlight w:val="yellow"/>
        </w:rPr>
        <w:t>. Die</w:t>
      </w:r>
      <w:r w:rsidR="002A1B89">
        <w:rPr>
          <w:rFonts w:eastAsia="Calibri"/>
          <w:highlight w:val="yellow"/>
        </w:rPr>
        <w:t xml:space="preserve"> </w:t>
      </w:r>
      <w:r w:rsidR="0013243F" w:rsidRPr="008302EE">
        <w:rPr>
          <w:rFonts w:eastAsia="Calibri"/>
          <w:highlight w:val="yellow"/>
        </w:rPr>
        <w:t>Bundesförderung</w:t>
      </w:r>
      <w:r w:rsidR="002A1B89">
        <w:rPr>
          <w:rFonts w:eastAsia="Calibri"/>
          <w:highlight w:val="yellow"/>
        </w:rPr>
        <w:t xml:space="preserve"> </w:t>
      </w:r>
      <w:r w:rsidR="0013243F" w:rsidRPr="008302EE">
        <w:rPr>
          <w:rFonts w:eastAsia="Calibri"/>
          <w:highlight w:val="yellow"/>
        </w:rPr>
        <w:t xml:space="preserve">für effiziente Wärmenetze (BEW) </w:t>
      </w:r>
      <w:r w:rsidR="00903B5B">
        <w:rPr>
          <w:rFonts w:eastAsia="Calibri"/>
          <w:highlight w:val="yellow"/>
        </w:rPr>
        <w:t>sollte</w:t>
      </w:r>
      <w:r w:rsidR="002A1B89">
        <w:rPr>
          <w:rFonts w:eastAsia="Calibri"/>
          <w:highlight w:val="yellow"/>
        </w:rPr>
        <w:t xml:space="preserve"> </w:t>
      </w:r>
      <w:r w:rsidR="0013243F" w:rsidRPr="008302EE">
        <w:rPr>
          <w:rFonts w:eastAsia="Calibri"/>
          <w:highlight w:val="yellow"/>
        </w:rPr>
        <w:t>entbürokratisiert</w:t>
      </w:r>
      <w:r w:rsidR="002A1B89">
        <w:rPr>
          <w:rFonts w:eastAsia="Calibri"/>
          <w:highlight w:val="yellow"/>
        </w:rPr>
        <w:t xml:space="preserve"> </w:t>
      </w:r>
      <w:r w:rsidR="0013243F" w:rsidRPr="008302EE">
        <w:rPr>
          <w:rFonts w:eastAsia="Calibri"/>
          <w:highlight w:val="yellow"/>
        </w:rPr>
        <w:t>und eine zügige Bewilligung der Anträge sichergestellt werden.</w:t>
      </w:r>
    </w:p>
    <w:p w14:paraId="2E3B0E1F" w14:textId="77777777" w:rsidR="00AD7ECA" w:rsidRPr="008302EE" w:rsidRDefault="0013243F" w:rsidP="0013243F">
      <w:pPr>
        <w:pStyle w:val="Listenabsatz"/>
        <w:numPr>
          <w:ilvl w:val="0"/>
          <w:numId w:val="12"/>
        </w:numPr>
        <w:spacing w:beforeAutospacing="1"/>
        <w:rPr>
          <w:rFonts w:eastAsia="Calibri"/>
          <w:highlight w:val="yellow"/>
        </w:rPr>
      </w:pPr>
      <w:r w:rsidRPr="008302EE">
        <w:rPr>
          <w:rFonts w:eastAsia="Calibri"/>
          <w:b/>
          <w:bCs/>
          <w:highlight w:val="yellow"/>
        </w:rPr>
        <w:t>Nachhaltige Wärmequellen von Wärmegenossenschaften erhalten</w:t>
      </w:r>
    </w:p>
    <w:p w14:paraId="6DE11B14" w14:textId="3CDD00ED" w:rsidR="0013243F" w:rsidRPr="00AD7ECA" w:rsidRDefault="0013243F" w:rsidP="00AD7ECA">
      <w:pPr>
        <w:pStyle w:val="Listenabsatz"/>
        <w:spacing w:beforeAutospacing="1"/>
        <w:rPr>
          <w:rFonts w:eastAsia="Calibri"/>
        </w:rPr>
      </w:pPr>
      <w:r w:rsidRPr="008302EE">
        <w:rPr>
          <w:rFonts w:eastAsia="Calibri"/>
          <w:highlight w:val="yellow"/>
        </w:rPr>
        <w:t>Wir fordern, dass insbesondere Biogasanlagen mit Wärmenetzanschluss weiterhin</w:t>
      </w:r>
      <w:r w:rsidR="002A1B89">
        <w:rPr>
          <w:rFonts w:eastAsia="Calibri"/>
          <w:highlight w:val="yellow"/>
        </w:rPr>
        <w:t xml:space="preserve"> </w:t>
      </w:r>
      <w:r w:rsidRPr="008302EE">
        <w:rPr>
          <w:rFonts w:eastAsia="Calibri"/>
          <w:highlight w:val="yellow"/>
        </w:rPr>
        <w:t>gefördert</w:t>
      </w:r>
      <w:r w:rsidR="002A1B89">
        <w:rPr>
          <w:rFonts w:eastAsia="Calibri"/>
          <w:highlight w:val="yellow"/>
        </w:rPr>
        <w:t xml:space="preserve"> </w:t>
      </w:r>
      <w:r w:rsidRPr="008302EE">
        <w:rPr>
          <w:rFonts w:eastAsia="Calibri"/>
          <w:highlight w:val="yellow"/>
        </w:rPr>
        <w:t>werden, um die Wärmewende auf dem Land nicht zu gefährden. Auch die nachhaltige Nutzung von regionalen Biomassepotenzialen darf für genossenschaftliche Wärmenetze nicht eingeschränkt werden.</w:t>
      </w:r>
    </w:p>
    <w:p w14:paraId="1F0A17CF" w14:textId="666E8F0A" w:rsidR="00FC07DA" w:rsidRPr="00471335" w:rsidRDefault="00FC07DA" w:rsidP="00FC07DA">
      <w:pPr>
        <w:spacing w:beforeAutospacing="1" w:afterAutospacing="1"/>
        <w:rPr>
          <w:rFonts w:eastAsia="Times New Roman"/>
        </w:rPr>
      </w:pPr>
      <w:r>
        <w:rPr>
          <w:rFonts w:eastAsiaTheme="minorEastAsia"/>
        </w:rPr>
        <w:t>Als Genossenschaft</w:t>
      </w:r>
      <w:r w:rsidR="00155E7D">
        <w:rPr>
          <w:rFonts w:eastAsiaTheme="minorEastAsia"/>
        </w:rPr>
        <w:t xml:space="preserve"> sind wir Mitglied im</w:t>
      </w:r>
      <w:r w:rsidRPr="313B46F9">
        <w:rPr>
          <w:rFonts w:eastAsiaTheme="minorEastAsia"/>
        </w:rPr>
        <w:t xml:space="preserve"> Prüfungs- und Beratungsverband</w:t>
      </w:r>
      <w:r w:rsidR="00155E7D">
        <w:rPr>
          <w:rFonts w:eastAsiaTheme="minorEastAsia"/>
        </w:rPr>
        <w:t xml:space="preserve"> </w:t>
      </w:r>
      <w:r w:rsidR="00155E7D" w:rsidRPr="313B46F9">
        <w:rPr>
          <w:rFonts w:eastAsiaTheme="minorEastAsia"/>
        </w:rPr>
        <w:t>Genoverband e.V.</w:t>
      </w:r>
      <w:r w:rsidRPr="313B46F9">
        <w:rPr>
          <w:rFonts w:eastAsiaTheme="minorEastAsia"/>
        </w:rPr>
        <w:t xml:space="preserve">, </w:t>
      </w:r>
      <w:r w:rsidR="00155E7D">
        <w:rPr>
          <w:rFonts w:eastAsiaTheme="minorEastAsia"/>
        </w:rPr>
        <w:t xml:space="preserve">der als </w:t>
      </w:r>
      <w:r w:rsidRPr="313B46F9">
        <w:rPr>
          <w:rFonts w:eastAsiaTheme="minorEastAsia"/>
        </w:rPr>
        <w:t>Interessenvertreter und Bildungsträger für rund 2.600 Mitgliedsgenossenschaften</w:t>
      </w:r>
      <w:r w:rsidR="00155E7D">
        <w:rPr>
          <w:rFonts w:eastAsiaTheme="minorEastAsia"/>
        </w:rPr>
        <w:t xml:space="preserve"> agiert</w:t>
      </w:r>
      <w:r w:rsidRPr="313B46F9">
        <w:rPr>
          <w:rFonts w:eastAsiaTheme="minorEastAsia"/>
        </w:rPr>
        <w:t>. Als Dienstleister betreut er Genossenschaften aus den Bereichen Kreditwirtschaft, Landwirtschaft, Agrarwirtschaft, Handel, Gewerbe und Dienstleistungen mit über acht Millionen Mitgliedern in 14 Bundesländern.</w:t>
      </w:r>
      <w:r w:rsidR="00155E7D">
        <w:rPr>
          <w:rFonts w:eastAsiaTheme="minorEastAsia"/>
        </w:rPr>
        <w:t xml:space="preserve"> Auf Bundesebene werden wir und andere Verbände von dem </w:t>
      </w:r>
      <w:r w:rsidR="00155E7D" w:rsidRPr="00155E7D">
        <w:rPr>
          <w:rFonts w:eastAsiaTheme="minorEastAsia"/>
        </w:rPr>
        <w:t>DGRV – Deutscher Genossenschafts- und Raiffeisenverband e. V.</w:t>
      </w:r>
      <w:r w:rsidR="00155E7D">
        <w:rPr>
          <w:rFonts w:eastAsiaTheme="minorEastAsia"/>
        </w:rPr>
        <w:t xml:space="preserve"> vertreten.</w:t>
      </w:r>
    </w:p>
    <w:p w14:paraId="4EBEA49F" w14:textId="60167BDA" w:rsidR="00155E7D" w:rsidRDefault="00FC07DA" w:rsidP="00FC07DA">
      <w:pPr>
        <w:spacing w:before="100" w:beforeAutospacing="1" w:after="100" w:afterAutospacing="1"/>
        <w:rPr>
          <w:rFonts w:eastAsiaTheme="minorEastAsia"/>
        </w:rPr>
      </w:pPr>
      <w:r w:rsidRPr="313B46F9">
        <w:rPr>
          <w:rFonts w:eastAsiaTheme="minorEastAsia"/>
        </w:rPr>
        <w:lastRenderedPageBreak/>
        <w:t xml:space="preserve">Für Rückfragen stehen wir </w:t>
      </w:r>
      <w:r w:rsidR="00155E7D">
        <w:rPr>
          <w:rFonts w:eastAsiaTheme="minorEastAsia"/>
        </w:rPr>
        <w:t xml:space="preserve">und </w:t>
      </w:r>
      <w:proofErr w:type="gramStart"/>
      <w:r w:rsidR="00155E7D">
        <w:rPr>
          <w:rFonts w:eastAsiaTheme="minorEastAsia"/>
        </w:rPr>
        <w:t>unsere Referent</w:t>
      </w:r>
      <w:proofErr w:type="gramEnd"/>
      <w:r w:rsidR="00155E7D">
        <w:rPr>
          <w:rFonts w:eastAsiaTheme="minorEastAsia"/>
        </w:rPr>
        <w:t xml:space="preserve">*innen im Genoverband und </w:t>
      </w:r>
      <w:r w:rsidR="008302EE">
        <w:rPr>
          <w:rFonts w:eastAsiaTheme="minorEastAsia"/>
        </w:rPr>
        <w:t xml:space="preserve">beim </w:t>
      </w:r>
      <w:r w:rsidR="00155E7D">
        <w:rPr>
          <w:rFonts w:eastAsiaTheme="minorEastAsia"/>
        </w:rPr>
        <w:t xml:space="preserve">DGRV </w:t>
      </w:r>
      <w:r w:rsidR="00155E7D" w:rsidRPr="313B46F9">
        <w:rPr>
          <w:rFonts w:eastAsiaTheme="minorEastAsia"/>
        </w:rPr>
        <w:t>jederzeit zur Verfügung</w:t>
      </w:r>
      <w:r w:rsidR="00155E7D">
        <w:rPr>
          <w:rFonts w:eastAsiaTheme="minorEastAsia"/>
        </w:rPr>
        <w:t>.</w:t>
      </w:r>
    </w:p>
    <w:p w14:paraId="37122775" w14:textId="0914B162" w:rsidR="00155E7D" w:rsidRPr="00155E7D" w:rsidRDefault="00155E7D" w:rsidP="00155E7D">
      <w:pPr>
        <w:pStyle w:val="Listenabsatz"/>
        <w:spacing w:beforeAutospacing="1"/>
        <w:ind w:left="0"/>
        <w:rPr>
          <w:rFonts w:eastAsia="Calibri"/>
          <w:b/>
          <w:bCs/>
        </w:rPr>
      </w:pPr>
      <w:r w:rsidRPr="00155E7D">
        <w:rPr>
          <w:rFonts w:eastAsia="Calibri"/>
          <w:b/>
          <w:bCs/>
        </w:rPr>
        <w:t>Genoverband e.V.</w:t>
      </w:r>
    </w:p>
    <w:p w14:paraId="47A7227C" w14:textId="39A982F8" w:rsidR="00155E7D" w:rsidRPr="00155E7D" w:rsidRDefault="00155E7D" w:rsidP="00155E7D">
      <w:pPr>
        <w:pStyle w:val="Listenabsatz"/>
        <w:spacing w:beforeAutospacing="1"/>
        <w:ind w:left="0"/>
        <w:rPr>
          <w:rFonts w:eastAsia="Calibri"/>
        </w:rPr>
      </w:pPr>
      <w:r w:rsidRPr="00155E7D">
        <w:rPr>
          <w:rFonts w:eastAsia="Calibri"/>
        </w:rPr>
        <w:t>Nora Vehling</w:t>
      </w:r>
    </w:p>
    <w:p w14:paraId="71E2D3F9" w14:textId="2C8DA23C" w:rsidR="00155E7D" w:rsidRPr="00155E7D" w:rsidRDefault="00155E7D" w:rsidP="00155E7D">
      <w:pPr>
        <w:pStyle w:val="Listenabsatz"/>
        <w:spacing w:beforeAutospacing="1"/>
        <w:ind w:left="0"/>
        <w:rPr>
          <w:rFonts w:eastAsia="Calibri"/>
        </w:rPr>
      </w:pPr>
      <w:r w:rsidRPr="00155E7D">
        <w:rPr>
          <w:rFonts w:eastAsia="Calibri"/>
        </w:rPr>
        <w:t xml:space="preserve">Referentin Politik und Kommunikation </w:t>
      </w:r>
    </w:p>
    <w:p w14:paraId="25EAEB00" w14:textId="77777777" w:rsidR="00155E7D" w:rsidRPr="00155E7D" w:rsidRDefault="00155E7D" w:rsidP="00155E7D">
      <w:pPr>
        <w:pStyle w:val="Listenabsatz"/>
        <w:spacing w:beforeAutospacing="1"/>
        <w:ind w:left="0"/>
        <w:rPr>
          <w:rFonts w:eastAsia="Calibri"/>
        </w:rPr>
      </w:pPr>
      <w:r w:rsidRPr="00155E7D">
        <w:rPr>
          <w:rFonts w:eastAsia="Calibri"/>
        </w:rPr>
        <w:t>T: +49 151 65 290 262</w:t>
      </w:r>
      <w:r w:rsidRPr="00155E7D">
        <w:rPr>
          <w:rFonts w:eastAsia="Calibri"/>
        </w:rPr>
        <w:br/>
        <w:t xml:space="preserve">E-Mail: </w:t>
      </w:r>
      <w:hyperlink r:id="rId7" w:history="1">
        <w:r w:rsidRPr="00155E7D">
          <w:rPr>
            <w:rFonts w:eastAsia="Calibri"/>
          </w:rPr>
          <w:t>nora.vehling@genoverband.de</w:t>
        </w:r>
      </w:hyperlink>
      <w:r w:rsidRPr="00155E7D">
        <w:rPr>
          <w:rFonts w:eastAsia="Calibri"/>
        </w:rPr>
        <w:br/>
      </w:r>
    </w:p>
    <w:p w14:paraId="40461613" w14:textId="77777777" w:rsidR="00155E7D" w:rsidRPr="00155E7D" w:rsidRDefault="00155E7D" w:rsidP="00155E7D">
      <w:pPr>
        <w:pStyle w:val="Listenabsatz"/>
        <w:spacing w:beforeAutospacing="1"/>
        <w:ind w:left="0"/>
        <w:rPr>
          <w:rFonts w:eastAsia="Calibri"/>
        </w:rPr>
      </w:pPr>
      <w:r w:rsidRPr="00155E7D">
        <w:rPr>
          <w:rFonts w:eastAsia="Calibri"/>
          <w:b/>
          <w:bCs/>
        </w:rPr>
        <w:t>DGRV – Deutscher Genossenschafts- und Raiffeisenverband e. V.</w:t>
      </w:r>
      <w:r w:rsidRPr="00155E7D">
        <w:rPr>
          <w:rFonts w:eastAsia="Calibri"/>
        </w:rPr>
        <w:br/>
        <w:t>Anton Mohr</w:t>
      </w:r>
    </w:p>
    <w:p w14:paraId="5BC99DC8" w14:textId="190A94E9" w:rsidR="00155E7D" w:rsidRPr="00155E7D" w:rsidRDefault="00155E7D" w:rsidP="00155E7D">
      <w:pPr>
        <w:pStyle w:val="Listenabsatz"/>
        <w:spacing w:beforeAutospacing="1"/>
        <w:ind w:left="0"/>
        <w:rPr>
          <w:rFonts w:eastAsia="Calibri"/>
        </w:rPr>
      </w:pPr>
      <w:r w:rsidRPr="00E406FB">
        <w:rPr>
          <w:rFonts w:eastAsia="Calibri"/>
        </w:rPr>
        <w:t>Referent für Strompolitik und Europa</w:t>
      </w:r>
      <w:r w:rsidRPr="00155E7D">
        <w:rPr>
          <w:rFonts w:eastAsia="Calibri"/>
        </w:rPr>
        <w:br/>
        <w:t>T: + 49 30 726220-978</w:t>
      </w:r>
      <w:r w:rsidRPr="00155E7D">
        <w:rPr>
          <w:rFonts w:eastAsia="Calibri"/>
        </w:rPr>
        <w:br/>
        <w:t xml:space="preserve">E-Mail: </w:t>
      </w:r>
      <w:hyperlink r:id="rId8" w:history="1">
        <w:r w:rsidRPr="00155E7D">
          <w:rPr>
            <w:rFonts w:eastAsia="Calibri"/>
          </w:rPr>
          <w:t>anton.mohr@dgrv.de</w:t>
        </w:r>
      </w:hyperlink>
    </w:p>
    <w:p w14:paraId="5A31E83C" w14:textId="77777777" w:rsidR="00155E7D" w:rsidRDefault="00155E7D" w:rsidP="00FC07DA">
      <w:pPr>
        <w:spacing w:before="100" w:beforeAutospacing="1" w:after="100" w:afterAutospacing="1"/>
        <w:rPr>
          <w:rFonts w:eastAsiaTheme="minorEastAsia"/>
        </w:rPr>
      </w:pPr>
    </w:p>
    <w:p w14:paraId="682AC332" w14:textId="77777777" w:rsidR="00155E7D" w:rsidRPr="00590E53" w:rsidRDefault="00155E7D" w:rsidP="00FC07DA">
      <w:pPr>
        <w:spacing w:before="100" w:beforeAutospacing="1" w:after="100" w:afterAutospacing="1"/>
        <w:rPr>
          <w:rFonts w:eastAsia="Times New Roman"/>
        </w:rPr>
      </w:pPr>
    </w:p>
    <w:p w14:paraId="13CBA604" w14:textId="3E6BB41C" w:rsidR="001A3691" w:rsidRPr="00FC07DA" w:rsidRDefault="001A3691" w:rsidP="00FC07DA">
      <w:pPr>
        <w:spacing w:beforeAutospacing="1" w:afterAutospacing="1"/>
        <w:rPr>
          <w:rFonts w:eastAsia="Calibri"/>
        </w:rPr>
      </w:pPr>
    </w:p>
    <w:sectPr w:rsidR="001A3691" w:rsidRPr="00FC07DA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A949C" w14:textId="77777777" w:rsidR="008C79D3" w:rsidRDefault="008C79D3" w:rsidP="00155E7D">
      <w:pPr>
        <w:spacing w:after="0" w:line="240" w:lineRule="auto"/>
      </w:pPr>
      <w:r>
        <w:separator/>
      </w:r>
    </w:p>
  </w:endnote>
  <w:endnote w:type="continuationSeparator" w:id="0">
    <w:p w14:paraId="26A3FB97" w14:textId="77777777" w:rsidR="008C79D3" w:rsidRDefault="008C79D3" w:rsidP="00155E7D">
      <w:pPr>
        <w:spacing w:after="0" w:line="240" w:lineRule="auto"/>
      </w:pPr>
      <w:r>
        <w:continuationSeparator/>
      </w:r>
    </w:p>
  </w:endnote>
  <w:endnote w:type="continuationNotice" w:id="1">
    <w:p w14:paraId="66C2E882" w14:textId="77777777" w:rsidR="008C79D3" w:rsidRDefault="008C79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A3CFC" w14:textId="2BA385D5" w:rsidR="003C4425" w:rsidRDefault="007A059B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3B51F8EC" wp14:editId="3417202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82575" cy="316865"/>
              <wp:effectExtent l="0" t="0" r="3175" b="0"/>
              <wp:wrapNone/>
              <wp:docPr id="957256213" name="Textfeld 5" descr="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575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EB9B98" w14:textId="06BCEB6B" w:rsidR="007A059B" w:rsidRPr="007A059B" w:rsidRDefault="007A059B" w:rsidP="007A059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838383"/>
                              <w:sz w:val="16"/>
                              <w:szCs w:val="16"/>
                            </w:rPr>
                          </w:pPr>
                          <w:r w:rsidRPr="007A059B">
                            <w:rPr>
                              <w:rFonts w:ascii="Arial" w:eastAsia="Arial" w:hAnsi="Arial" w:cs="Arial"/>
                              <w:noProof/>
                              <w:color w:val="838383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51F8EC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8" type="#_x0000_t202" alt=" " style="position:absolute;margin-left:0;margin-top:0;width:22.25pt;height:24.95pt;z-index:25165824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5LQEwIAACEEAAAOAAAAZHJzL2Uyb0RvYy54bWysU99v2jAQfp+0/8Hy+0hgg7GIULFWTJNQ&#10;W4lWfTaOTSLZPss2JOyv39kh0HV9mvbinO8u9+P7Pi9uOq3IUTjfgCnpeJRTIgyHqjH7kj4/rT/N&#10;KfGBmYopMKKkJ+HpzfLjh0VrCzGBGlQlHMEixhetLWkdgi2yzPNaaOZHYIXBoASnWcCr22eVYy1W&#10;1yqb5Pksa8FV1gEX3qP3rg/SZaovpeDhQUovAlElxdlCOl06d/HMlgtW7B2zdcPPY7B/mEKzxmDT&#10;S6k7Fhg5uOavUrrhDjzIMOKgM5Cy4SLtgNuM8zfbbGtmRdoFwfH2ApP/f2X5/XFrHx0J3XfokMAI&#10;SGt94dEZ9+mk0/GLkxKMI4SnC2yiC4SjczKfTL9OKeEY+jyezWfTWCW7/mydDz8EaBKNkjpkJYHF&#10;jhsf+tQhJfYysG6USswo84cDa0ZPdp0wWqHbdaSpcJBh+h1UJ1zKQc+3t3zdYOsN8+GROSQY90DR&#10;hgc8pIK2pHC2KKnB/XrPH/MRd4xS0qJgSmpQ0ZSonwb5mEy/5HkUWLqh4QZjl4zxt3wa4+agbwG1&#10;OMZnYXkyY3JQgykd6BfU9Cp2wxAzHHuWdDeYt6GXL74JLlarlIRasixszNbyWDpiFgF96l6Ys2fU&#10;A9J1D4OkWPEG/D43/unt6hCQgsRMxLdH8ww76jBxe34zUeiv7ynr+rKXvwEAAP//AwBQSwMEFAAG&#10;AAgAAAAhAKOC+XXaAAAAAwEAAA8AAABkcnMvZG93bnJldi54bWxMj81uwjAQhO+VeAdrK/VWnCIa&#10;QYiDEP1Rrw2VytGJlzgiXqexgfTtu+2FXna0mtXMt/l6dJ044xBaTwoepgkIpNqblhoFH7uX+wWI&#10;EDUZ3XlCBd8YYF1MbnKdGX+hdzyXsREcQiHTCmyMfSZlqC06Haa+R2Lv4AenI69DI82gLxzuOjlL&#10;klQ63RI3WN3j1mJ9LE9OQfr0urH9Z7r/OszCW6j8MZb+Wam723GzAhFxjNdj+MVndCiYqfInMkF0&#10;CviR+DfZm88fQVSsyyXIIpf/2YsfAAAA//8DAFBLAQItABQABgAIAAAAIQC2gziS/gAAAOEBAAAT&#10;AAAAAAAAAAAAAAAAAAAAAABbQ29udGVudF9UeXBlc10ueG1sUEsBAi0AFAAGAAgAAAAhADj9If/W&#10;AAAAlAEAAAsAAAAAAAAAAAAAAAAALwEAAF9yZWxzLy5yZWxzUEsBAi0AFAAGAAgAAAAhAF1bktAT&#10;AgAAIQQAAA4AAAAAAAAAAAAAAAAALgIAAGRycy9lMm9Eb2MueG1sUEsBAi0AFAAGAAgAAAAhAKOC&#10;+XXaAAAAAwEAAA8AAAAAAAAAAAAAAAAAbQQAAGRycy9kb3ducmV2LnhtbFBLBQYAAAAABAAEAPMA&#10;AAB0BQAAAAA=&#10;" filled="f" stroked="f">
              <v:textbox style="mso-fit-shape-to-text:t" inset="20pt,0,0,15pt">
                <w:txbxContent>
                  <w:p w14:paraId="41EB9B98" w14:textId="06BCEB6B" w:rsidR="007A059B" w:rsidRPr="007A059B" w:rsidRDefault="007A059B" w:rsidP="007A059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838383"/>
                        <w:sz w:val="16"/>
                        <w:szCs w:val="16"/>
                      </w:rPr>
                    </w:pPr>
                    <w:r w:rsidRPr="007A059B">
                      <w:rPr>
                        <w:rFonts w:ascii="Arial" w:eastAsia="Arial" w:hAnsi="Arial" w:cs="Arial"/>
                        <w:noProof/>
                        <w:color w:val="838383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FDF73" w14:textId="7521BE64" w:rsidR="003C4425" w:rsidRDefault="007A059B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2A91EE9A" wp14:editId="48BCC092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282575" cy="316865"/>
              <wp:effectExtent l="0" t="0" r="3175" b="0"/>
              <wp:wrapNone/>
              <wp:docPr id="16154676" name="Textfeld 6" descr="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575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A7CA9D" w14:textId="34149C36" w:rsidR="007A059B" w:rsidRPr="007A059B" w:rsidRDefault="007A059B" w:rsidP="007A059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838383"/>
                              <w:sz w:val="16"/>
                              <w:szCs w:val="16"/>
                            </w:rPr>
                          </w:pPr>
                          <w:r w:rsidRPr="007A059B">
                            <w:rPr>
                              <w:rFonts w:ascii="Arial" w:eastAsia="Arial" w:hAnsi="Arial" w:cs="Arial"/>
                              <w:noProof/>
                              <w:color w:val="838383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91EE9A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9" type="#_x0000_t202" alt=" " style="position:absolute;margin-left:0;margin-top:0;width:22.25pt;height:24.95pt;z-index:251658245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BNYEwIAACEEAAAOAAAAZHJzL2Uyb0RvYy54bWysU99v2jAQfp+0/8Hy+0hgg7GIULFWTJNQ&#10;W4lWfTaOTSLZPss2JOyv39kh0HV9mvbinO8u9+P7Pi9uOq3IUTjfgCnpeJRTIgyHqjH7kj4/rT/N&#10;KfGBmYopMKKkJ+HpzfLjh0VrCzGBGlQlHMEixhetLWkdgi2yzPNaaOZHYIXBoASnWcCr22eVYy1W&#10;1yqb5Pksa8FV1gEX3qP3rg/SZaovpeDhQUovAlElxdlCOl06d/HMlgtW7B2zdcPPY7B/mEKzxmDT&#10;S6k7Fhg5uOavUrrhDjzIMOKgM5Cy4SLtgNuM8zfbbGtmRdoFwfH2ApP/f2X5/XFrHx0J3XfokMAI&#10;SGt94dEZ9+mk0/GLkxKMI4SnC2yiC4SjczKfTL9OKeEY+jyezWfTWCW7/mydDz8EaBKNkjpkJYHF&#10;jhsf+tQhJfYysG6USswo84cDa0ZPdp0wWqHbdaSpsPkw/Q6qEy7loOfbW75usPWG+fDIHBKMe6Bo&#10;wwMeUkFbUjhblNTgfr3nj/mIO0YpaVEwJTWoaErUT4N8TKZf8jwKLN3QcIOxS8b4Wz6NcXPQt4Ba&#10;HOOzsDyZMTmowZQO9AtqehW7YYgZjj1LuhvM29DLF98EF6tVSkItWRY2Zmt5LB0xi4A+dS/M2TPq&#10;Aem6h0FSrHgDfp8b//R2dQhIQWIm4tujeYYddZi4Pb+ZKPTX95R1fdnL3wAAAP//AwBQSwMEFAAG&#10;AAgAAAAhAKOC+XXaAAAAAwEAAA8AAABkcnMvZG93bnJldi54bWxMj81uwjAQhO+VeAdrK/VWnCIa&#10;QYiDEP1Rrw2VytGJlzgiXqexgfTtu+2FXna0mtXMt/l6dJ044xBaTwoepgkIpNqblhoFH7uX+wWI&#10;EDUZ3XlCBd8YYF1MbnKdGX+hdzyXsREcQiHTCmyMfSZlqC06Haa+R2Lv4AenI69DI82gLxzuOjlL&#10;klQ63RI3WN3j1mJ9LE9OQfr0urH9Z7r/OszCW6j8MZb+Wam723GzAhFxjNdj+MVndCiYqfInMkF0&#10;CviR+DfZm88fQVSsyyXIIpf/2YsfAAAA//8DAFBLAQItABQABgAIAAAAIQC2gziS/gAAAOEBAAAT&#10;AAAAAAAAAAAAAAAAAAAAAABbQ29udGVudF9UeXBlc10ueG1sUEsBAi0AFAAGAAgAAAAhADj9If/W&#10;AAAAlAEAAAsAAAAAAAAAAAAAAAAALwEAAF9yZWxzLy5yZWxzUEsBAi0AFAAGAAgAAAAhAK3UE1gT&#10;AgAAIQQAAA4AAAAAAAAAAAAAAAAALgIAAGRycy9lMm9Eb2MueG1sUEsBAi0AFAAGAAgAAAAhAKOC&#10;+XXaAAAAAwEAAA8AAAAAAAAAAAAAAAAAbQQAAGRycy9kb3ducmV2LnhtbFBLBQYAAAAABAAEAPMA&#10;AAB0BQAAAAA=&#10;" filled="f" stroked="f">
              <v:textbox style="mso-fit-shape-to-text:t" inset="20pt,0,0,15pt">
                <w:txbxContent>
                  <w:p w14:paraId="04A7CA9D" w14:textId="34149C36" w:rsidR="007A059B" w:rsidRPr="007A059B" w:rsidRDefault="007A059B" w:rsidP="007A059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838383"/>
                        <w:sz w:val="16"/>
                        <w:szCs w:val="16"/>
                      </w:rPr>
                    </w:pPr>
                    <w:r w:rsidRPr="007A059B">
                      <w:rPr>
                        <w:rFonts w:ascii="Arial" w:eastAsia="Arial" w:hAnsi="Arial" w:cs="Arial"/>
                        <w:noProof/>
                        <w:color w:val="838383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41B79" w14:textId="7C72FD6D" w:rsidR="003C4425" w:rsidRDefault="007A059B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2714431" wp14:editId="1C711EC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82575" cy="316865"/>
              <wp:effectExtent l="0" t="0" r="3175" b="0"/>
              <wp:wrapNone/>
              <wp:docPr id="426107401" name="Textfeld 4" descr="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575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DFDCD5" w14:textId="76279617" w:rsidR="007A059B" w:rsidRPr="007A059B" w:rsidRDefault="007A059B" w:rsidP="007A059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838383"/>
                              <w:sz w:val="16"/>
                              <w:szCs w:val="16"/>
                            </w:rPr>
                          </w:pPr>
                          <w:r w:rsidRPr="007A059B">
                            <w:rPr>
                              <w:rFonts w:ascii="Arial" w:eastAsia="Arial" w:hAnsi="Arial" w:cs="Arial"/>
                              <w:noProof/>
                              <w:color w:val="838383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714431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31" type="#_x0000_t202" alt=" " style="position:absolute;margin-left:0;margin-top:0;width:22.25pt;height:24.95pt;z-index:25165824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PTdEgIAACEEAAAOAAAAZHJzL2Uyb0RvYy54bWysU99v2jAQfp+0/8Hy+0hgC2MRoWKtmCah&#10;thKt+mwcm0SyfZZtSNhfv7Mh0HV9mvbinO8u9+P7Ps9veq3IQTjfgqnoeJRTIgyHujW7ij4/rT7N&#10;KPGBmZopMKKiR+HpzeLjh3lnSzGBBlQtHMEixpedrWgTgi2zzPNGaOZHYIXBoASnWcCr22W1Yx1W&#10;1yqb5Pk068DV1gEX3qP37hSki1RfSsHDg5ReBKIqirOFdLp0buOZLeas3Dlmm5afx2D/MIVmrcGm&#10;l1J3LDCyd+1fpXTLHXiQYcRBZyBly0XaAbcZ52+22TTMirQLguPtBSb//8ry+8PGPjoS+u/QI4ER&#10;kM760qMz7tNLp+MXJyUYRwiPF9hEHwhH52Q2Kb4WlHAMfR5PZ9MiVsmuP1vnww8BmkSjog5ZSWCx&#10;w9qHU+qQEnsZWLVKJWaU+cOBNaMnu04YrdBve9LWFU19o2cL9RGXcnDi21u+arH1mvnwyBwSjHug&#10;aMMDHlJBV1E4W5Q04H6954/5iDtGKelQMBU1qGhK1E+DfEyKL3keBZZuaLjB2CZj/C0vYtzs9S2g&#10;Fsf4LCxPZkwOajClA/2Cml7GbhhihmPPim4H8zac5ItvgovlMiWhliwLa7OxPJaOmEVAn/oX5uwZ&#10;9YB03cMgKVa+Af+UG//0drkPSEFi5ormGXbUYeL2/Gai0F/fU9b1ZS9+AwAA//8DAFBLAwQUAAYA&#10;CAAAACEAo4L5ddoAAAADAQAADwAAAGRycy9kb3ducmV2LnhtbEyPzW7CMBCE75V4B2sr9VacIhpB&#10;iIMQ/VGvDZXK0YmXOCJep7GB9O277YVedrSa1cy3+Xp0nTjjEFpPCh6mCQik2puWGgUfu5f7BYgQ&#10;NRndeUIF3xhgXUxucp0Zf6F3PJexERxCIdMKbIx9JmWoLTodpr5HYu/gB6cjr0MjzaAvHO46OUuS&#10;VDrdEjdY3ePWYn0sT05B+vS6sf1nuv86zMJbqPwxlv5ZqbvbcbMCEXGM12P4xWd0KJip8icyQXQK&#10;+JH4N9mbzx9BVKzLJcgil//Zix8AAAD//wMAUEsBAi0AFAAGAAgAAAAhALaDOJL+AAAA4QEAABMA&#10;AAAAAAAAAAAAAAAAAAAAAFtDb250ZW50X1R5cGVzXS54bWxQSwECLQAUAAYACAAAACEAOP0h/9YA&#10;AACUAQAACwAAAAAAAAAAAAAAAAAvAQAAX3JlbHMvLnJlbHNQSwECLQAUAAYACAAAACEAD/j03RIC&#10;AAAhBAAADgAAAAAAAAAAAAAAAAAuAgAAZHJzL2Uyb0RvYy54bWxQSwECLQAUAAYACAAAACEAo4L5&#10;ddoAAAADAQAADwAAAAAAAAAAAAAAAABsBAAAZHJzL2Rvd25yZXYueG1sUEsFBgAAAAAEAAQA8wAA&#10;AHMFAAAAAA==&#10;" filled="f" stroked="f">
              <v:textbox style="mso-fit-shape-to-text:t" inset="20pt,0,0,15pt">
                <w:txbxContent>
                  <w:p w14:paraId="1BDFDCD5" w14:textId="76279617" w:rsidR="007A059B" w:rsidRPr="007A059B" w:rsidRDefault="007A059B" w:rsidP="007A059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838383"/>
                        <w:sz w:val="16"/>
                        <w:szCs w:val="16"/>
                      </w:rPr>
                    </w:pPr>
                    <w:r w:rsidRPr="007A059B">
                      <w:rPr>
                        <w:rFonts w:ascii="Arial" w:eastAsia="Arial" w:hAnsi="Arial" w:cs="Arial"/>
                        <w:noProof/>
                        <w:color w:val="838383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C3F67" w14:textId="77777777" w:rsidR="008C79D3" w:rsidRDefault="008C79D3" w:rsidP="00155E7D">
      <w:pPr>
        <w:spacing w:after="0" w:line="240" w:lineRule="auto"/>
      </w:pPr>
      <w:r>
        <w:separator/>
      </w:r>
    </w:p>
  </w:footnote>
  <w:footnote w:type="continuationSeparator" w:id="0">
    <w:p w14:paraId="52F1AF94" w14:textId="77777777" w:rsidR="008C79D3" w:rsidRDefault="008C79D3" w:rsidP="00155E7D">
      <w:pPr>
        <w:spacing w:after="0" w:line="240" w:lineRule="auto"/>
      </w:pPr>
      <w:r>
        <w:continuationSeparator/>
      </w:r>
    </w:p>
  </w:footnote>
  <w:footnote w:type="continuationNotice" w:id="1">
    <w:p w14:paraId="4A69AC22" w14:textId="77777777" w:rsidR="008C79D3" w:rsidRDefault="008C79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D4863" w14:textId="4EB8A9B1" w:rsidR="003C4425" w:rsidRDefault="007A059B">
    <w:pPr>
      <w:pStyle w:val="Kopfzeile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D52B7E1" wp14:editId="2AACB4C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393190" cy="316865"/>
              <wp:effectExtent l="0" t="0" r="0" b="6985"/>
              <wp:wrapNone/>
              <wp:docPr id="2076836460" name="Textfeld 2" descr="Klassifizierung: Öffentlich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319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89B37F" w14:textId="77B7C169" w:rsidR="007A059B" w:rsidRPr="007A059B" w:rsidRDefault="007A059B" w:rsidP="007A059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838383"/>
                              <w:sz w:val="16"/>
                              <w:szCs w:val="16"/>
                            </w:rPr>
                          </w:pPr>
                          <w:r w:rsidRPr="007A059B">
                            <w:rPr>
                              <w:rFonts w:ascii="Arial" w:eastAsia="Arial" w:hAnsi="Arial" w:cs="Arial"/>
                              <w:noProof/>
                              <w:color w:val="838383"/>
                              <w:sz w:val="16"/>
                              <w:szCs w:val="16"/>
                            </w:rPr>
                            <w:t xml:space="preserve">Klassifizierung: Öffentlich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52B7E1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alt="Klassifizierung: Öffentlich " style="position:absolute;margin-left:58.5pt;margin-top:0;width:109.7pt;height:24.95pt;z-index:25165824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8bDDQIAABsEAAAOAAAAZHJzL2Uyb0RvYy54bWysU1tv2jAUfp+0/2D5fSTAQG1EqFgrpkmo&#10;rUSnPhvHJpFsH8s2JOzX79gJsHV9qvZin5vP5TufF3edVuQonG/AlHQ8yikRhkPVmH1Jf76sv9xQ&#10;4gMzFVNgRElPwtO75edPi9YWYgI1qEo4gkmML1pb0joEW2SZ57XQzI/ACoNOCU6zgKrbZ5VjLWbX&#10;Kpvk+TxrwVXWARfeo/Whd9Jlyi+l4OFJSi8CUSXF3kI6XTp38cyWC1bsHbN1w4c22Ae60KwxWPSS&#10;6oEFRg6u+SeVbrgDDzKMOOgMpGy4SDPgNOP8zTTbmlmRZkFwvL3A5P9fWv543NpnR0L3DTpcYASk&#10;tb7waIzzdNLpeGOnBP0I4ekCm+gC4fHR9HY6vkUXR990PL+Zz2Ka7PraOh++C9AkCiV1uJaEFjtu&#10;fOhDzyGxmIF1o1RajTJ/GTBntGTXFqMUul039L2D6oTjOOg37S1fN1hzw3x4Zg5Xi20iXcMTHlJB&#10;W1IYJEpqcL/es8d4RBy9lLRIlZIa5DIl6ofBTURWJQEhmOWouaRNZl/zqO3OQeag7wFZOMYPYXkS&#10;Y3BQZ1E60K/I5lWshi5mONYsaTiL96EnLv4GLlarFIQssixszNbymDqCFZF86V6ZswPcARf1CGcy&#10;seIN6n1sfOnt6hAQ+7SSCGyP5oA3MjAtdfgtkeJ/6inq+qeXvwEAAP//AwBQSwMEFAAGAAgAAAAh&#10;ANvCGxvdAAAABAEAAA8AAABkcnMvZG93bnJldi54bWxMj0FLw0AQhe+C/2EZwYvYTWuRJmZSRCjY&#10;gwerOXjbZKdJMDsbdrdp8u9dvdjLwOM93vsm306mFyM531lGWC4SEMS11R03CJ8fu/sNCB8Ua9Vb&#10;JoSZPGyL66tcZdqe+Z3GQ2hELGGfKYQ2hCGT0tctGeUXdiCO3tE6o0KUrpHaqXMsN71cJcmjNKrj&#10;uNCqgV5aqr8PJ4NQTu7ubZfuX+fqqxvnZF8+bI4l4u3N9PwEItAU/sPwix/RoYhMlT2x9qJHiI+E&#10;vxu91TJdg6gQ1mkKssjlJXzxAwAA//8DAFBLAQItABQABgAIAAAAIQC2gziS/gAAAOEBAAATAAAA&#10;AAAAAAAAAAAAAAAAAABbQ29udGVudF9UeXBlc10ueG1sUEsBAi0AFAAGAAgAAAAhADj9If/WAAAA&#10;lAEAAAsAAAAAAAAAAAAAAAAALwEAAF9yZWxzLy5yZWxzUEsBAi0AFAAGAAgAAAAhADqzxsMNAgAA&#10;GwQAAA4AAAAAAAAAAAAAAAAALgIAAGRycy9lMm9Eb2MueG1sUEsBAi0AFAAGAAgAAAAhANvCGxvd&#10;AAAABAEAAA8AAAAAAAAAAAAAAAAAZwQAAGRycy9kb3ducmV2LnhtbFBLBQYAAAAABAAEAPMAAABx&#10;BQAAAAA=&#10;" filled="f" stroked="f">
              <v:textbox style="mso-fit-shape-to-text:t" inset="0,15pt,20pt,0">
                <w:txbxContent>
                  <w:p w14:paraId="0289B37F" w14:textId="77B7C169" w:rsidR="007A059B" w:rsidRPr="007A059B" w:rsidRDefault="007A059B" w:rsidP="007A059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838383"/>
                        <w:sz w:val="16"/>
                        <w:szCs w:val="16"/>
                      </w:rPr>
                    </w:pPr>
                    <w:r w:rsidRPr="007A059B">
                      <w:rPr>
                        <w:rFonts w:ascii="Arial" w:eastAsia="Arial" w:hAnsi="Arial" w:cs="Arial"/>
                        <w:noProof/>
                        <w:color w:val="838383"/>
                        <w:sz w:val="16"/>
                        <w:szCs w:val="16"/>
                      </w:rPr>
                      <w:t xml:space="preserve">Klassifizierung: Öffentlich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9BC02" w14:textId="291B132A" w:rsidR="003C4425" w:rsidRDefault="007A059B">
    <w:pPr>
      <w:pStyle w:val="Kopfzeil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EBAEC55" wp14:editId="3A0E22A0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393190" cy="316865"/>
              <wp:effectExtent l="0" t="0" r="0" b="6985"/>
              <wp:wrapNone/>
              <wp:docPr id="1811456139" name="Textfeld 1" descr="Klassifizierung: Öffentlich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319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A71FDC" w14:textId="6F7E2A1D" w:rsidR="007A059B" w:rsidRPr="007A059B" w:rsidRDefault="007A059B" w:rsidP="007A059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838383"/>
                              <w:sz w:val="16"/>
                              <w:szCs w:val="16"/>
                            </w:rPr>
                          </w:pPr>
                          <w:r w:rsidRPr="007A059B">
                            <w:rPr>
                              <w:rFonts w:ascii="Arial" w:eastAsia="Arial" w:hAnsi="Arial" w:cs="Arial"/>
                              <w:noProof/>
                              <w:color w:val="838383"/>
                              <w:sz w:val="16"/>
                              <w:szCs w:val="16"/>
                            </w:rPr>
                            <w:t xml:space="preserve">Klassifizierung: Öffentlich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BAEC55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30" type="#_x0000_t202" alt="Klassifizierung: Öffentlich " style="position:absolute;margin-left:58.5pt;margin-top:0;width:109.7pt;height:2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UFXEwIAACIEAAAOAAAAZHJzL2Uyb0RvYy54bWysU99v2jAQfp+0/8Hy+0iAgtqIULFWTJNQ&#10;W4lOfTaOTSLZPss2JOyv39kh0HV7mvbi3Pku9+P7Pi/uO63IUTjfgCnpeJRTIgyHqjH7kv54XX+5&#10;pcQHZiqmwIiSnoSn98vPnxatLcQEalCVcASLGF+0tqR1CLbIMs9roZkfgRUGgxKcZgFdt88qx1qs&#10;rlU2yfN51oKrrAMuvMfbxz5Il6m+lIKHZym9CESVFGcL6XTp3MUzWy5YsXfM1g0/j8H+YQrNGoNN&#10;L6UeWWDk4Jo/SumGO/Agw4iDzkDKhou0A24zzj9ss62ZFWkXBMfbC0z+/5XlT8etfXEkdF+hQwIj&#10;IK31hcfLuE8nnY5fnJRgHCE8XWATXSA8/jS9m47vMMQxNh3Pb+ezWCa7/m2dD98EaBKNkjqkJaHF&#10;jhsf+tQhJTYzsG6UStQo89sF1ow32XXEaIVu15GmKunNMP4OqhNu5aAn3Fu+brD1hvnwwhwyjNOi&#10;asMzHlJBW1I4W5TU4H7+7T7mI/AYpaRFxZTUoKQpUd8NEhLFlQxEYpaj55I3md3k0dsNSeagHwDF&#10;OMZ3YXkyY3JQgykd6DcU9Sp2wxAzHHuWNAzmQ+j1i4+Ci9UqJaGYLAsbs7U8lo6YRUBfuzfm7Bn1&#10;gHw9waApVnwAv8+Nf3q7OgSkIDET8e3RPMOOQkzcnh9NVPp7P2Vdn/byFwAAAP//AwBQSwMEFAAG&#10;AAgAAAAhANvCGxvdAAAABAEAAA8AAABkcnMvZG93bnJldi54bWxMj0FLw0AQhe+C/2EZwYvYTWuR&#10;JmZSRCjYgwerOXjbZKdJMDsbdrdp8u9dvdjLwOM93vsm306mFyM531lGWC4SEMS11R03CJ8fu/sN&#10;CB8Ua9VbJoSZPGyL66tcZdqe+Z3GQ2hELGGfKYQ2hCGT0tctGeUXdiCO3tE6o0KUrpHaqXMsN71c&#10;JcmjNKrjuNCqgV5aqr8PJ4NQTu7ubZfuX+fqqxvnZF8+bI4l4u3N9PwEItAU/sPwix/RoYhMlT2x&#10;9qJHiI+Evxu91TJdg6gQ1mkKssjlJXzxAwAA//8DAFBLAQItABQABgAIAAAAIQC2gziS/gAAAOEB&#10;AAATAAAAAAAAAAAAAAAAAAAAAABbQ29udGVudF9UeXBlc10ueG1sUEsBAi0AFAAGAAgAAAAhADj9&#10;If/WAAAAlAEAAAsAAAAAAAAAAAAAAAAALwEAAF9yZWxzLy5yZWxzUEsBAi0AFAAGAAgAAAAhAPEB&#10;QVcTAgAAIgQAAA4AAAAAAAAAAAAAAAAALgIAAGRycy9lMm9Eb2MueG1sUEsBAi0AFAAGAAgAAAAh&#10;ANvCGxvdAAAABAEAAA8AAAAAAAAAAAAAAAAAbQQAAGRycy9kb3ducmV2LnhtbFBLBQYAAAAABAAE&#10;APMAAAB3BQAAAAA=&#10;" filled="f" stroked="f">
              <v:textbox style="mso-fit-shape-to-text:t" inset="0,15pt,20pt,0">
                <w:txbxContent>
                  <w:p w14:paraId="5DA71FDC" w14:textId="6F7E2A1D" w:rsidR="007A059B" w:rsidRPr="007A059B" w:rsidRDefault="007A059B" w:rsidP="007A059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838383"/>
                        <w:sz w:val="16"/>
                        <w:szCs w:val="16"/>
                      </w:rPr>
                    </w:pPr>
                    <w:r w:rsidRPr="007A059B">
                      <w:rPr>
                        <w:rFonts w:ascii="Arial" w:eastAsia="Arial" w:hAnsi="Arial" w:cs="Arial"/>
                        <w:noProof/>
                        <w:color w:val="838383"/>
                        <w:sz w:val="16"/>
                        <w:szCs w:val="16"/>
                      </w:rPr>
                      <w:t xml:space="preserve">Klassifizierung: Öffentlich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E4033"/>
    <w:multiLevelType w:val="multilevel"/>
    <w:tmpl w:val="719E44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756005"/>
    <w:multiLevelType w:val="hybridMultilevel"/>
    <w:tmpl w:val="D068E258"/>
    <w:lvl w:ilvl="0" w:tplc="F7D8D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48FB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B641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2E95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E0DB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8872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6EB5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0458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2A26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5009DB"/>
    <w:multiLevelType w:val="multilevel"/>
    <w:tmpl w:val="6A8C10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EF7F8B"/>
    <w:multiLevelType w:val="multilevel"/>
    <w:tmpl w:val="991C6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2F095F"/>
    <w:multiLevelType w:val="multilevel"/>
    <w:tmpl w:val="43987F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AB46BE"/>
    <w:multiLevelType w:val="multilevel"/>
    <w:tmpl w:val="7230FD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3471E1"/>
    <w:multiLevelType w:val="multilevel"/>
    <w:tmpl w:val="18A03B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213AF8"/>
    <w:multiLevelType w:val="multilevel"/>
    <w:tmpl w:val="0296A29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654AB5"/>
    <w:multiLevelType w:val="multilevel"/>
    <w:tmpl w:val="91F4C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9712FF"/>
    <w:multiLevelType w:val="multilevel"/>
    <w:tmpl w:val="35A2D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A07061"/>
    <w:multiLevelType w:val="multilevel"/>
    <w:tmpl w:val="372E4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3650AC"/>
    <w:multiLevelType w:val="multilevel"/>
    <w:tmpl w:val="1EC4BC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06E6E"/>
    <w:multiLevelType w:val="hybridMultilevel"/>
    <w:tmpl w:val="7E062F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865DFB"/>
    <w:multiLevelType w:val="multilevel"/>
    <w:tmpl w:val="50649C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7252916">
    <w:abstractNumId w:val="8"/>
  </w:num>
  <w:num w:numId="2" w16cid:durableId="813643270">
    <w:abstractNumId w:val="12"/>
  </w:num>
  <w:num w:numId="3" w16cid:durableId="1284385588">
    <w:abstractNumId w:val="10"/>
  </w:num>
  <w:num w:numId="4" w16cid:durableId="1071729863">
    <w:abstractNumId w:val="2"/>
  </w:num>
  <w:num w:numId="5" w16cid:durableId="1774982060">
    <w:abstractNumId w:val="11"/>
  </w:num>
  <w:num w:numId="6" w16cid:durableId="247926335">
    <w:abstractNumId w:val="5"/>
  </w:num>
  <w:num w:numId="7" w16cid:durableId="1006515859">
    <w:abstractNumId w:val="4"/>
  </w:num>
  <w:num w:numId="8" w16cid:durableId="924802084">
    <w:abstractNumId w:val="6"/>
  </w:num>
  <w:num w:numId="9" w16cid:durableId="1059086251">
    <w:abstractNumId w:val="1"/>
  </w:num>
  <w:num w:numId="10" w16cid:durableId="134104527">
    <w:abstractNumId w:val="7"/>
  </w:num>
  <w:num w:numId="11" w16cid:durableId="1517884202">
    <w:abstractNumId w:val="3"/>
  </w:num>
  <w:num w:numId="12" w16cid:durableId="1675107816">
    <w:abstractNumId w:val="9"/>
  </w:num>
  <w:num w:numId="13" w16cid:durableId="45497007">
    <w:abstractNumId w:val="13"/>
  </w:num>
  <w:num w:numId="14" w16cid:durableId="646469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DD8"/>
    <w:rsid w:val="00083F89"/>
    <w:rsid w:val="0013243F"/>
    <w:rsid w:val="00155E7D"/>
    <w:rsid w:val="00174DBC"/>
    <w:rsid w:val="001A3691"/>
    <w:rsid w:val="001A4D88"/>
    <w:rsid w:val="001B27B4"/>
    <w:rsid w:val="001C244E"/>
    <w:rsid w:val="002A1B89"/>
    <w:rsid w:val="002E3D98"/>
    <w:rsid w:val="002E6ABF"/>
    <w:rsid w:val="00315CD4"/>
    <w:rsid w:val="00333CA7"/>
    <w:rsid w:val="003C4425"/>
    <w:rsid w:val="003F4BC0"/>
    <w:rsid w:val="004244EB"/>
    <w:rsid w:val="00445922"/>
    <w:rsid w:val="004763FD"/>
    <w:rsid w:val="004B0D2C"/>
    <w:rsid w:val="00532D53"/>
    <w:rsid w:val="005628E4"/>
    <w:rsid w:val="0056782F"/>
    <w:rsid w:val="005B661C"/>
    <w:rsid w:val="005C44F9"/>
    <w:rsid w:val="006622C6"/>
    <w:rsid w:val="006A75BC"/>
    <w:rsid w:val="00720CD9"/>
    <w:rsid w:val="00772DCB"/>
    <w:rsid w:val="007A059B"/>
    <w:rsid w:val="007A109B"/>
    <w:rsid w:val="007A7B69"/>
    <w:rsid w:val="007D1BA4"/>
    <w:rsid w:val="008302EE"/>
    <w:rsid w:val="00856727"/>
    <w:rsid w:val="008902EA"/>
    <w:rsid w:val="008A3615"/>
    <w:rsid w:val="008C79D3"/>
    <w:rsid w:val="00903B5B"/>
    <w:rsid w:val="00906C9E"/>
    <w:rsid w:val="00921DD8"/>
    <w:rsid w:val="00942562"/>
    <w:rsid w:val="009A2E8B"/>
    <w:rsid w:val="00A4603B"/>
    <w:rsid w:val="00A94047"/>
    <w:rsid w:val="00AD7ECA"/>
    <w:rsid w:val="00AE15E3"/>
    <w:rsid w:val="00B63041"/>
    <w:rsid w:val="00B94B58"/>
    <w:rsid w:val="00BB3A11"/>
    <w:rsid w:val="00BB66AA"/>
    <w:rsid w:val="00BB7EFF"/>
    <w:rsid w:val="00BC6EAE"/>
    <w:rsid w:val="00C277CE"/>
    <w:rsid w:val="00C64FDA"/>
    <w:rsid w:val="00CA0C9B"/>
    <w:rsid w:val="00CD7CCC"/>
    <w:rsid w:val="00D85B44"/>
    <w:rsid w:val="00E2430C"/>
    <w:rsid w:val="00F63101"/>
    <w:rsid w:val="00FC07DA"/>
    <w:rsid w:val="00FD7B75"/>
    <w:rsid w:val="00FE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80414C"/>
  <w15:chartTrackingRefBased/>
  <w15:docId w15:val="{2F743A58-88C1-4D9A-822E-F3572008C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21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1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1D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21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21D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21D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21D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21D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21D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21D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1D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1D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21DD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21DD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21DD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21DD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21DD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21DD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21D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21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21D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21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21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21DD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21DD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21DD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21D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21DD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21D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4763FD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63FD"/>
    <w:rPr>
      <w:color w:val="605E5C"/>
      <w:shd w:val="clear" w:color="auto" w:fill="E1DFDD"/>
    </w:rPr>
  </w:style>
  <w:style w:type="paragraph" w:customStyle="1" w:styleId="GA-Geschftszeichen">
    <w:name w:val="GA - Geschäftszeichen"/>
    <w:basedOn w:val="Standard"/>
    <w:uiPriority w:val="6"/>
    <w:qFormat/>
    <w:rsid w:val="00155E7D"/>
    <w:pPr>
      <w:tabs>
        <w:tab w:val="left" w:pos="624"/>
        <w:tab w:val="left" w:pos="3261"/>
      </w:tabs>
      <w:spacing w:after="0" w:line="200" w:lineRule="exact"/>
    </w:pPr>
    <w:rPr>
      <w:kern w:val="0"/>
      <w:sz w:val="16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155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5E7D"/>
  </w:style>
  <w:style w:type="paragraph" w:styleId="Fuzeile">
    <w:name w:val="footer"/>
    <w:basedOn w:val="Standard"/>
    <w:link w:val="FuzeileZchn"/>
    <w:uiPriority w:val="99"/>
    <w:unhideWhenUsed/>
    <w:rsid w:val="00155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5E7D"/>
  </w:style>
  <w:style w:type="character" w:styleId="Kommentarzeichen">
    <w:name w:val="annotation reference"/>
    <w:basedOn w:val="Absatz-Standardschriftart"/>
    <w:uiPriority w:val="99"/>
    <w:semiHidden/>
    <w:unhideWhenUsed/>
    <w:rsid w:val="007A059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59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59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59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59B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5B66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99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on.mohr@dgrv.de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nora.vehling@genoverband.de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138d40c-b7a7-4b86-bf18-26ee822da147}" enabled="1" method="Privileged" siteId="{e80cd88e-b6c2-45a2-a41c-41c6ae250c0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916</Words>
  <Characters>5777</Characters>
  <Application>Microsoft Office Word</Application>
  <DocSecurity>4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Vehling</dc:creator>
  <cp:keywords/>
  <dc:description/>
  <cp:lastModifiedBy>Annett Zimmermann</cp:lastModifiedBy>
  <cp:revision>2</cp:revision>
  <dcterms:created xsi:type="dcterms:W3CDTF">2025-02-12T14:21:00Z</dcterms:created>
  <dcterms:modified xsi:type="dcterms:W3CDTF">2025-02-12T14:21:00Z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6bf8a08b,7bca026c,421d95ac</vt:lpwstr>
  </property>
  <property fmtid="{D5CDD505-2E9C-101B-9397-08002B2CF9AE}" pid="3" name="ClassificationContentMarkingHeaderFontProps">
    <vt:lpwstr>#838383,8,Arial</vt:lpwstr>
  </property>
  <property fmtid="{D5CDD505-2E9C-101B-9397-08002B2CF9AE}" pid="4" name="ClassificationContentMarkingHeaderText">
    <vt:lpwstr>Klassifizierung: Öffentlich </vt:lpwstr>
  </property>
  <property fmtid="{D5CDD505-2E9C-101B-9397-08002B2CF9AE}" pid="5" name="ClassificationContentMarkingFooterShapeIds">
    <vt:lpwstr>1965e209,390e9215,f68034</vt:lpwstr>
  </property>
  <property fmtid="{D5CDD505-2E9C-101B-9397-08002B2CF9AE}" pid="6" name="ClassificationContentMarkingFooterFontProps">
    <vt:lpwstr>#838383,8,Arial</vt:lpwstr>
  </property>
  <property fmtid="{D5CDD505-2E9C-101B-9397-08002B2CF9AE}" pid="7" name="ClassificationContentMarkingFooterText">
    <vt:lpwstr> </vt:lpwstr>
  </property>
</Properties>
</file>